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543FE" w14:textId="5FC47F1E" w:rsidR="00E64F16" w:rsidRPr="00C979A9" w:rsidRDefault="00E64F16" w:rsidP="00E64F16">
      <w:pPr>
        <w:pStyle w:val="Header"/>
        <w:tabs>
          <w:tab w:val="right" w:pos="9781"/>
          <w:tab w:val="right" w:pos="13323"/>
        </w:tabs>
        <w:spacing w:before="60" w:after="60"/>
        <w:outlineLvl w:val="0"/>
        <w:rPr>
          <w:rFonts w:cs="Arial"/>
          <w:b w:val="0"/>
          <w:sz w:val="24"/>
          <w:szCs w:val="24"/>
          <w:lang w:eastAsia="zh-CN"/>
        </w:rPr>
      </w:pPr>
      <w:r w:rsidRPr="0052514D">
        <w:rPr>
          <w:rFonts w:cs="Arial"/>
          <w:sz w:val="24"/>
          <w:szCs w:val="24"/>
          <w:lang w:eastAsia="zh-CN"/>
        </w:rPr>
        <w:t>3</w:t>
      </w:r>
      <w:r>
        <w:rPr>
          <w:rFonts w:cs="Arial"/>
          <w:sz w:val="24"/>
          <w:szCs w:val="24"/>
          <w:lang w:eastAsia="zh-CN"/>
        </w:rPr>
        <w:t>GPP TSG-RAN WG4 Meeting #11</w:t>
      </w:r>
      <w:r w:rsidR="006A2D15">
        <w:rPr>
          <w:rFonts w:cs="Arial"/>
          <w:sz w:val="24"/>
          <w:szCs w:val="24"/>
          <w:lang w:eastAsia="zh-CN"/>
        </w:rPr>
        <w:t>6bis</w:t>
      </w:r>
      <w:r w:rsidRPr="0052514D">
        <w:rPr>
          <w:rFonts w:cs="Arial"/>
          <w:sz w:val="24"/>
          <w:szCs w:val="24"/>
          <w:lang w:eastAsia="zh-CN"/>
        </w:rPr>
        <w:tab/>
      </w:r>
      <w:r w:rsidR="00B55403">
        <w:rPr>
          <w:rFonts w:cs="Arial"/>
          <w:sz w:val="24"/>
          <w:szCs w:val="24"/>
          <w:lang w:eastAsia="zh-CN"/>
        </w:rPr>
        <w:tab/>
      </w:r>
      <w:r w:rsidRPr="00C979A9">
        <w:rPr>
          <w:rFonts w:cs="Arial"/>
          <w:sz w:val="24"/>
          <w:szCs w:val="24"/>
          <w:lang w:eastAsia="zh-CN"/>
        </w:rPr>
        <w:t>R4-25</w:t>
      </w:r>
      <w:r w:rsidR="00C979A9" w:rsidRPr="00C979A9">
        <w:rPr>
          <w:rFonts w:cs="Arial"/>
          <w:sz w:val="24"/>
          <w:szCs w:val="24"/>
          <w:lang w:eastAsia="zh-CN"/>
        </w:rPr>
        <w:t>13862</w:t>
      </w:r>
    </w:p>
    <w:p w14:paraId="043F610D" w14:textId="20F7328B" w:rsidR="002803A4" w:rsidRPr="00C979A9" w:rsidRDefault="006A2D15" w:rsidP="002803A4">
      <w:pPr>
        <w:pStyle w:val="Header"/>
        <w:tabs>
          <w:tab w:val="right" w:pos="10206"/>
        </w:tabs>
        <w:spacing w:after="120"/>
        <w:rPr>
          <w:rFonts w:cs="Arial"/>
          <w:sz w:val="24"/>
        </w:rPr>
      </w:pPr>
      <w:r w:rsidRPr="00C979A9">
        <w:rPr>
          <w:rFonts w:cs="Arial"/>
          <w:sz w:val="24"/>
        </w:rPr>
        <w:t>Prague, Czech Republic</w:t>
      </w:r>
      <w:r w:rsidR="002803A4" w:rsidRPr="00C979A9">
        <w:rPr>
          <w:rFonts w:cs="Arial"/>
          <w:sz w:val="24"/>
        </w:rPr>
        <w:t>, 1</w:t>
      </w:r>
      <w:r w:rsidR="00E41918" w:rsidRPr="00C979A9">
        <w:rPr>
          <w:rFonts w:cs="Arial"/>
          <w:sz w:val="24"/>
        </w:rPr>
        <w:t>3</w:t>
      </w:r>
      <w:r w:rsidR="002803A4" w:rsidRPr="00C979A9">
        <w:rPr>
          <w:rFonts w:cs="Arial"/>
          <w:sz w:val="24"/>
          <w:vertAlign w:val="superscript"/>
        </w:rPr>
        <w:t>th</w:t>
      </w:r>
      <w:r w:rsidR="002803A4" w:rsidRPr="00C979A9">
        <w:rPr>
          <w:rFonts w:cs="Arial"/>
          <w:sz w:val="24"/>
        </w:rPr>
        <w:t xml:space="preserve"> to </w:t>
      </w:r>
      <w:r w:rsidR="00E41918" w:rsidRPr="00C979A9">
        <w:rPr>
          <w:rFonts w:cs="Arial"/>
          <w:sz w:val="24"/>
        </w:rPr>
        <w:t>18</w:t>
      </w:r>
      <w:r w:rsidR="00E41918" w:rsidRPr="00C979A9">
        <w:rPr>
          <w:rFonts w:cs="Arial"/>
          <w:sz w:val="24"/>
          <w:vertAlign w:val="superscript"/>
        </w:rPr>
        <w:t>th</w:t>
      </w:r>
      <w:r w:rsidR="002803A4" w:rsidRPr="00C979A9">
        <w:rPr>
          <w:rFonts w:cs="Arial"/>
          <w:sz w:val="24"/>
        </w:rPr>
        <w:t xml:space="preserve"> </w:t>
      </w:r>
      <w:r w:rsidR="00E41918" w:rsidRPr="00C979A9">
        <w:rPr>
          <w:rFonts w:cs="Arial"/>
          <w:sz w:val="24"/>
        </w:rPr>
        <w:t>October</w:t>
      </w:r>
      <w:r w:rsidR="002803A4" w:rsidRPr="00C979A9">
        <w:rPr>
          <w:rFonts w:cs="Arial"/>
          <w:sz w:val="24"/>
        </w:rPr>
        <w:t xml:space="preserve"> 2025</w:t>
      </w:r>
      <w:r w:rsidR="002803A4" w:rsidRPr="00C979A9">
        <w:rPr>
          <w:rFonts w:cs="Arial"/>
          <w:sz w:val="24"/>
          <w:vertAlign w:val="superscript"/>
        </w:rPr>
        <w:t xml:space="preserve"> </w:t>
      </w:r>
    </w:p>
    <w:p w14:paraId="3086AC07" w14:textId="77777777" w:rsidR="00E90E49" w:rsidRPr="00C979A9" w:rsidRDefault="00E90E49" w:rsidP="00357380">
      <w:pPr>
        <w:pStyle w:val="3GPPHeader"/>
        <w:rPr>
          <w:lang w:val="en-GB"/>
        </w:rPr>
      </w:pPr>
    </w:p>
    <w:p w14:paraId="3982483C" w14:textId="3CDFB4F0" w:rsidR="00E90E49" w:rsidRPr="00BB3509" w:rsidRDefault="00E90E49" w:rsidP="00311702">
      <w:pPr>
        <w:pStyle w:val="3GPPHeader"/>
        <w:rPr>
          <w:sz w:val="22"/>
        </w:rPr>
      </w:pPr>
      <w:r w:rsidRPr="00BB3509">
        <w:rPr>
          <w:sz w:val="22"/>
        </w:rPr>
        <w:t>Agenda Item:</w:t>
      </w:r>
      <w:r w:rsidRPr="00BB3509">
        <w:rPr>
          <w:sz w:val="22"/>
        </w:rPr>
        <w:tab/>
      </w:r>
      <w:r w:rsidR="00C979A9" w:rsidRPr="00BB3509">
        <w:rPr>
          <w:sz w:val="22"/>
        </w:rPr>
        <w:t>6.8.3.1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166EBACC" w:rsidR="00E90E49" w:rsidRPr="00CE0424" w:rsidRDefault="003D3C45" w:rsidP="00311702">
      <w:pPr>
        <w:pStyle w:val="3GPPHeader"/>
        <w:rPr>
          <w:sz w:val="22"/>
        </w:rPr>
      </w:pPr>
      <w:r>
        <w:rPr>
          <w:sz w:val="22"/>
        </w:rPr>
        <w:t>Title:</w:t>
      </w:r>
      <w:r w:rsidR="00E90E49" w:rsidRPr="00CE0424">
        <w:rPr>
          <w:sz w:val="22"/>
        </w:rPr>
        <w:tab/>
      </w:r>
      <w:r w:rsidR="0086181B" w:rsidRPr="0086181B">
        <w:rPr>
          <w:sz w:val="22"/>
        </w:rPr>
        <w:t>On Transmitter Spurious Emission Co-existence discussion</w:t>
      </w:r>
    </w:p>
    <w:p w14:paraId="025260C1" w14:textId="04C681FE" w:rsidR="00E90E49" w:rsidRPr="00CE0424" w:rsidRDefault="00E90E49" w:rsidP="00D546FF">
      <w:pPr>
        <w:pStyle w:val="3GPPHeader"/>
        <w:rPr>
          <w:sz w:val="22"/>
        </w:rPr>
      </w:pPr>
      <w:r w:rsidRPr="00CE0424">
        <w:rPr>
          <w:sz w:val="22"/>
        </w:rPr>
        <w:t>Document for:</w:t>
      </w:r>
      <w:r w:rsidRPr="00CE0424">
        <w:rPr>
          <w:sz w:val="22"/>
        </w:rPr>
        <w:tab/>
      </w:r>
      <w:r w:rsidR="00E64F16">
        <w:rPr>
          <w:sz w:val="22"/>
        </w:rPr>
        <w:t>Approval</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40E03987" w14:textId="77777777" w:rsidR="00BC724F" w:rsidRPr="00E20AAB" w:rsidRDefault="00BC724F" w:rsidP="00BC724F">
      <w:pPr>
        <w:pStyle w:val="BodyText"/>
        <w:rPr>
          <w:rFonts w:cs="Arial"/>
          <w:sz w:val="22"/>
        </w:rPr>
      </w:pPr>
      <w:r w:rsidRPr="00E20AAB">
        <w:rPr>
          <w:rFonts w:cs="Arial"/>
          <w:sz w:val="22"/>
        </w:rPr>
        <w:t xml:space="preserve">LS from ETSI MSG TFES [1] was received with a request to re-evaluate co-existence Tx spurious emission requirement levels for BS. It was acknowledged by RAN4 in the response LS [2]. </w:t>
      </w:r>
    </w:p>
    <w:p w14:paraId="750BDA37" w14:textId="77777777" w:rsidR="00BC724F" w:rsidRPr="00E20AAB" w:rsidRDefault="00BC724F" w:rsidP="00BC724F">
      <w:pPr>
        <w:pStyle w:val="BodyText"/>
        <w:rPr>
          <w:rFonts w:cs="Arial"/>
          <w:sz w:val="22"/>
        </w:rPr>
      </w:pPr>
      <w:r w:rsidRPr="00E20AAB">
        <w:rPr>
          <w:rFonts w:cs="Arial"/>
          <w:sz w:val="22"/>
        </w:rPr>
        <w:t>The co-existence spurious emission requirement was originally derived in 1999 for UTRA. The technical background at that time was very much focused on the introduction of UTRA FDD/TDD operating at 2 GHz. The assumptions used as references to the original requirement definition can be found in a contribution [3] presented at RAN4#113 in Orlando. Over the years RAN4 have defined new operating bands below and above 2 GHz using the same requirement level. In current specification, bands are defined within the range 410 MHz up to 7125 MHz with the same requirement level, except for a few occasions (e.g. protection of GSM). Therefore, it is now time to re-evaluate the relevance of transmitter co-existence spurious emission requirement levels.</w:t>
      </w:r>
    </w:p>
    <w:p w14:paraId="62BF5894" w14:textId="77777777" w:rsidR="00BC724F" w:rsidRPr="00E20AAB" w:rsidRDefault="00BC724F" w:rsidP="00BC724F">
      <w:pPr>
        <w:pStyle w:val="BodyText"/>
        <w:rPr>
          <w:sz w:val="22"/>
        </w:rPr>
      </w:pPr>
      <w:r w:rsidRPr="00E20AAB">
        <w:rPr>
          <w:sz w:val="22"/>
        </w:rPr>
        <w:t>The objective can be summarized as:</w:t>
      </w:r>
    </w:p>
    <w:p w14:paraId="61B6157B" w14:textId="77777777" w:rsidR="00BC724F" w:rsidRPr="00E20AAB" w:rsidRDefault="00BC724F" w:rsidP="00BC724F">
      <w:pPr>
        <w:pStyle w:val="ListParagraph"/>
        <w:widowControl w:val="0"/>
        <w:numPr>
          <w:ilvl w:val="0"/>
          <w:numId w:val="23"/>
        </w:numPr>
        <w:spacing w:line="240" w:lineRule="auto"/>
        <w:contextualSpacing/>
        <w:rPr>
          <w:i/>
          <w:iCs/>
        </w:rPr>
      </w:pPr>
      <w:r w:rsidRPr="00E20AAB">
        <w:rPr>
          <w:bCs/>
          <w:i/>
          <w:iCs/>
          <w:lang w:eastAsia="ko-KR"/>
        </w:rPr>
        <w:t>Evaluate co-existence transmitter spurious emission limits according to the request from ETSI/TFES</w:t>
      </w:r>
    </w:p>
    <w:p w14:paraId="21630938" w14:textId="77777777" w:rsidR="00BC724F" w:rsidRPr="00E20AAB" w:rsidRDefault="00BC724F" w:rsidP="00BC724F">
      <w:pPr>
        <w:pStyle w:val="ListParagraph"/>
        <w:widowControl w:val="0"/>
        <w:numPr>
          <w:ilvl w:val="0"/>
          <w:numId w:val="23"/>
        </w:numPr>
        <w:spacing w:line="240" w:lineRule="auto"/>
        <w:contextualSpacing/>
        <w:rPr>
          <w:i/>
          <w:iCs/>
        </w:rPr>
      </w:pPr>
      <w:r w:rsidRPr="00E20AAB">
        <w:rPr>
          <w:bCs/>
          <w:i/>
          <w:iCs/>
          <w:lang w:eastAsia="ko-KR"/>
        </w:rPr>
        <w:t>Improve transmitter co-existence spurious emission requirements if needed.</w:t>
      </w:r>
    </w:p>
    <w:p w14:paraId="6F6574A5" w14:textId="77777777" w:rsidR="00BC724F" w:rsidRPr="00E20AAB" w:rsidRDefault="00BC724F" w:rsidP="00BC724F">
      <w:pPr>
        <w:pStyle w:val="ListParagraph"/>
        <w:widowControl w:val="0"/>
        <w:numPr>
          <w:ilvl w:val="1"/>
          <w:numId w:val="23"/>
        </w:numPr>
        <w:spacing w:after="180" w:line="240" w:lineRule="auto"/>
        <w:contextualSpacing/>
        <w:jc w:val="both"/>
        <w:rPr>
          <w:i/>
          <w:lang w:val="en-US"/>
        </w:rPr>
      </w:pPr>
      <w:r w:rsidRPr="00E20AAB">
        <w:rPr>
          <w:rFonts w:hint="eastAsia"/>
          <w:i/>
          <w:lang w:val="en-US"/>
        </w:rPr>
        <w:t xml:space="preserve">Note: </w:t>
      </w:r>
      <w:r w:rsidRPr="00E20AAB">
        <w:rPr>
          <w:i/>
          <w:lang w:val="en-US"/>
        </w:rPr>
        <w:t>start the work after March 2025 and focus on bands in the upper region of FR1 with priority above 5.9 GHz.</w:t>
      </w:r>
    </w:p>
    <w:p w14:paraId="231E64EA" w14:textId="557CE989" w:rsidR="00477768" w:rsidRPr="00E20AAB" w:rsidRDefault="00BC724F" w:rsidP="00CE0424">
      <w:pPr>
        <w:pStyle w:val="BodyText"/>
        <w:rPr>
          <w:sz w:val="22"/>
        </w:rPr>
      </w:pPr>
      <w:r w:rsidRPr="00E20AAB">
        <w:rPr>
          <w:sz w:val="22"/>
        </w:rPr>
        <w:t xml:space="preserve">In this contribution, we share our calibration results and </w:t>
      </w:r>
      <w:r w:rsidR="00210D00">
        <w:rPr>
          <w:sz w:val="22"/>
        </w:rPr>
        <w:t>considerations</w:t>
      </w:r>
      <w:r w:rsidRPr="00E20AAB">
        <w:rPr>
          <w:sz w:val="22"/>
        </w:rPr>
        <w:t xml:space="preserve"> to trigger further discussions on open issues.</w:t>
      </w:r>
    </w:p>
    <w:p w14:paraId="6B659789" w14:textId="4A62E949" w:rsidR="00C473A5" w:rsidRDefault="00230D18" w:rsidP="00E20AAB">
      <w:pPr>
        <w:pStyle w:val="Heading1"/>
      </w:pPr>
      <w:bookmarkStart w:id="0" w:name="_Ref178064866"/>
      <w:r>
        <w:lastRenderedPageBreak/>
        <w:t>2</w:t>
      </w:r>
      <w:r>
        <w:tab/>
      </w:r>
      <w:r w:rsidR="004000E8" w:rsidRPr="00CE0424">
        <w:t>Discussion</w:t>
      </w:r>
      <w:bookmarkEnd w:id="0"/>
    </w:p>
    <w:p w14:paraId="4FB8A01A" w14:textId="6D2D4176" w:rsidR="00BA53BC" w:rsidRPr="0064211D" w:rsidRDefault="00BA53BC" w:rsidP="00BA53BC">
      <w:pPr>
        <w:rPr>
          <w:rFonts w:cs="Arial"/>
          <w:sz w:val="22"/>
          <w:lang w:val="en-GB" w:eastAsia="ja-JP"/>
        </w:rPr>
      </w:pPr>
      <w:r w:rsidRPr="0064211D">
        <w:rPr>
          <w:rFonts w:cs="Arial"/>
          <w:sz w:val="22"/>
          <w:lang w:val="en-GB" w:eastAsia="ja-JP"/>
        </w:rPr>
        <w:t xml:space="preserve">In the RAN4#116 meeting, it was </w:t>
      </w:r>
      <w:r w:rsidR="00A93291" w:rsidRPr="0064211D">
        <w:rPr>
          <w:rFonts w:cs="Arial"/>
          <w:sz w:val="22"/>
          <w:lang w:val="en-GB" w:eastAsia="ja-JP"/>
        </w:rPr>
        <w:t xml:space="preserve">agreed to follow a stepwise approach </w:t>
      </w:r>
      <w:r w:rsidR="00CE0BA4" w:rsidRPr="0064211D">
        <w:rPr>
          <w:rFonts w:cs="Arial"/>
          <w:sz w:val="22"/>
          <w:lang w:val="en-GB" w:eastAsia="ja-JP"/>
        </w:rPr>
        <w:t xml:space="preserve">to </w:t>
      </w:r>
      <w:r w:rsidR="00A1751D" w:rsidRPr="0064211D">
        <w:rPr>
          <w:rFonts w:cs="Arial"/>
          <w:sz w:val="22"/>
          <w:lang w:val="en-GB" w:eastAsia="ja-JP"/>
        </w:rPr>
        <w:t xml:space="preserve">align the simulator before there is any discussion on the requirement levels. </w:t>
      </w:r>
      <w:r w:rsidR="0062521E" w:rsidRPr="0064211D">
        <w:rPr>
          <w:rFonts w:cs="Arial"/>
          <w:sz w:val="22"/>
          <w:lang w:val="en-GB" w:eastAsia="ja-JP"/>
        </w:rPr>
        <w:t xml:space="preserve">The agreements </w:t>
      </w:r>
      <w:r w:rsidR="0062521E" w:rsidRPr="00C979A9">
        <w:rPr>
          <w:rFonts w:cs="Arial"/>
          <w:sz w:val="22"/>
          <w:lang w:val="en-GB" w:eastAsia="ja-JP"/>
        </w:rPr>
        <w:t xml:space="preserve">related to </w:t>
      </w:r>
      <w:r w:rsidR="0055592D" w:rsidRPr="00C979A9">
        <w:rPr>
          <w:rFonts w:cs="Arial"/>
          <w:sz w:val="22"/>
          <w:lang w:val="en-GB" w:eastAsia="ja-JP"/>
        </w:rPr>
        <w:t>previous WF [</w:t>
      </w:r>
      <w:r w:rsidR="00C979A9" w:rsidRPr="00C979A9">
        <w:rPr>
          <w:rFonts w:cs="Arial"/>
          <w:sz w:val="22"/>
          <w:lang w:val="en-GB" w:eastAsia="ja-JP"/>
        </w:rPr>
        <w:t>4</w:t>
      </w:r>
      <w:r w:rsidR="0055592D" w:rsidRPr="00C979A9">
        <w:rPr>
          <w:rFonts w:cs="Arial"/>
          <w:sz w:val="22"/>
          <w:lang w:val="en-GB" w:eastAsia="ja-JP"/>
        </w:rPr>
        <w:t xml:space="preserve">] </w:t>
      </w:r>
      <w:r w:rsidR="00BB170E" w:rsidRPr="00C979A9">
        <w:rPr>
          <w:rFonts w:cs="Arial"/>
          <w:sz w:val="22"/>
          <w:lang w:val="en-GB" w:eastAsia="ja-JP"/>
        </w:rPr>
        <w:t>for</w:t>
      </w:r>
      <w:r w:rsidR="00BB170E" w:rsidRPr="0064211D">
        <w:rPr>
          <w:rFonts w:cs="Arial"/>
          <w:sz w:val="22"/>
          <w:lang w:val="en-GB" w:eastAsia="ja-JP"/>
        </w:rPr>
        <w:t xml:space="preserve"> calibration </w:t>
      </w:r>
      <w:r w:rsidR="0055592D" w:rsidRPr="0064211D">
        <w:rPr>
          <w:rFonts w:cs="Arial"/>
          <w:sz w:val="22"/>
          <w:lang w:val="en-GB" w:eastAsia="ja-JP"/>
        </w:rPr>
        <w:t xml:space="preserve">are captured below – </w:t>
      </w:r>
    </w:p>
    <w:p w14:paraId="0A66748A" w14:textId="18054155" w:rsidR="0055592D" w:rsidRPr="0064211D" w:rsidRDefault="00BB170E" w:rsidP="0055592D">
      <w:pPr>
        <w:pStyle w:val="ListParagraph"/>
        <w:numPr>
          <w:ilvl w:val="0"/>
          <w:numId w:val="25"/>
        </w:numPr>
        <w:rPr>
          <w:rFonts w:ascii="Arial" w:hAnsi="Arial" w:cs="Arial"/>
          <w:lang w:val="en-GB" w:eastAsia="ja-JP"/>
        </w:rPr>
      </w:pPr>
      <w:r w:rsidRPr="0064211D">
        <w:rPr>
          <w:rFonts w:ascii="Arial" w:hAnsi="Arial" w:cs="Arial"/>
          <w:lang w:val="en-GB" w:eastAsia="ja-JP"/>
        </w:rPr>
        <w:t>ISD – 500m</w:t>
      </w:r>
    </w:p>
    <w:p w14:paraId="791D4ACF" w14:textId="214D4C89" w:rsidR="00BB170E" w:rsidRPr="0064211D" w:rsidRDefault="00BB170E" w:rsidP="0055592D">
      <w:pPr>
        <w:pStyle w:val="ListParagraph"/>
        <w:numPr>
          <w:ilvl w:val="0"/>
          <w:numId w:val="25"/>
        </w:numPr>
        <w:rPr>
          <w:rFonts w:ascii="Arial" w:hAnsi="Arial" w:cs="Arial"/>
          <w:lang w:val="en-GB" w:eastAsia="ja-JP"/>
        </w:rPr>
      </w:pPr>
      <w:r w:rsidRPr="0064211D">
        <w:rPr>
          <w:rFonts w:ascii="Arial" w:hAnsi="Arial" w:cs="Arial"/>
          <w:lang w:val="en-GB" w:eastAsia="ja-JP"/>
        </w:rPr>
        <w:t>Grid shift – 100%</w:t>
      </w:r>
    </w:p>
    <w:p w14:paraId="02C3ACF1" w14:textId="3DE6DB5C" w:rsidR="00E55722" w:rsidRPr="0064211D" w:rsidRDefault="18A10B74" w:rsidP="00E55722">
      <w:pPr>
        <w:pStyle w:val="ListParagraph"/>
        <w:numPr>
          <w:ilvl w:val="0"/>
          <w:numId w:val="25"/>
        </w:numPr>
        <w:rPr>
          <w:rFonts w:ascii="Arial" w:hAnsi="Arial" w:cs="Arial"/>
          <w:lang w:val="en-GB" w:eastAsia="ja-JP"/>
        </w:rPr>
      </w:pPr>
      <w:r w:rsidRPr="06398984">
        <w:rPr>
          <w:rFonts w:ascii="Arial" w:hAnsi="Arial" w:cs="Arial"/>
          <w:lang w:val="en-GB" w:eastAsia="ja-JP"/>
        </w:rPr>
        <w:t>Correlation value for out of band antenna gain – First 0 and then 1 (depend</w:t>
      </w:r>
      <w:r w:rsidR="5B7E7A4B" w:rsidRPr="06398984">
        <w:rPr>
          <w:rFonts w:ascii="Arial" w:hAnsi="Arial" w:cs="Arial"/>
          <w:lang w:val="en-GB" w:eastAsia="ja-JP"/>
        </w:rPr>
        <w:t>ing</w:t>
      </w:r>
      <w:r w:rsidRPr="06398984">
        <w:rPr>
          <w:rFonts w:ascii="Arial" w:hAnsi="Arial" w:cs="Arial"/>
          <w:lang w:val="en-GB" w:eastAsia="ja-JP"/>
        </w:rPr>
        <w:t xml:space="preserve"> on the calibration step)</w:t>
      </w:r>
    </w:p>
    <w:p w14:paraId="13C6ECA7" w14:textId="537E0A77" w:rsidR="00580726" w:rsidRPr="0064211D" w:rsidRDefault="00580726" w:rsidP="00580726">
      <w:pPr>
        <w:pStyle w:val="ListParagraph"/>
        <w:numPr>
          <w:ilvl w:val="0"/>
          <w:numId w:val="25"/>
        </w:numPr>
        <w:rPr>
          <w:rFonts w:ascii="Arial" w:hAnsi="Arial" w:cs="Arial"/>
          <w:lang w:val="en-GB" w:eastAsia="ja-JP"/>
        </w:rPr>
      </w:pPr>
      <w:r w:rsidRPr="06398984">
        <w:rPr>
          <w:rFonts w:ascii="Arial" w:hAnsi="Arial" w:cs="Arial"/>
          <w:lang w:val="en-GB" w:eastAsia="ja-JP"/>
        </w:rPr>
        <w:t>Evaluation scenarios – W</w:t>
      </w:r>
      <w:r w:rsidR="2D47E057" w:rsidRPr="06398984">
        <w:rPr>
          <w:rFonts w:ascii="Arial" w:hAnsi="Arial" w:cs="Arial"/>
          <w:lang w:val="en-GB" w:eastAsia="ja-JP"/>
        </w:rPr>
        <w:t xml:space="preserve">ide </w:t>
      </w:r>
      <w:r w:rsidRPr="06398984">
        <w:rPr>
          <w:rFonts w:ascii="Arial" w:hAnsi="Arial" w:cs="Arial"/>
          <w:lang w:val="en-GB" w:eastAsia="ja-JP"/>
        </w:rPr>
        <w:t>A</w:t>
      </w:r>
      <w:r w:rsidR="1A3FD3D0" w:rsidRPr="06398984">
        <w:rPr>
          <w:rFonts w:ascii="Arial" w:hAnsi="Arial" w:cs="Arial"/>
          <w:lang w:val="en-GB" w:eastAsia="ja-JP"/>
        </w:rPr>
        <w:t>rea (WA)</w:t>
      </w:r>
      <w:r w:rsidRPr="06398984">
        <w:rPr>
          <w:rFonts w:ascii="Arial" w:hAnsi="Arial" w:cs="Arial"/>
          <w:lang w:val="en-GB" w:eastAsia="ja-JP"/>
        </w:rPr>
        <w:t xml:space="preserve"> for BS-to-BS</w:t>
      </w:r>
      <w:r w:rsidR="002922B8" w:rsidRPr="06398984">
        <w:rPr>
          <w:rFonts w:ascii="Arial" w:hAnsi="Arial" w:cs="Arial"/>
          <w:lang w:val="en-GB" w:eastAsia="ja-JP"/>
        </w:rPr>
        <w:t xml:space="preserve"> (Urban Macro in TR 38.922) and M</w:t>
      </w:r>
      <w:r w:rsidR="290B749B" w:rsidRPr="06398984">
        <w:rPr>
          <w:rFonts w:ascii="Arial" w:hAnsi="Arial" w:cs="Arial"/>
          <w:lang w:val="en-GB" w:eastAsia="ja-JP"/>
        </w:rPr>
        <w:t xml:space="preserve">edium </w:t>
      </w:r>
      <w:r w:rsidR="002922B8" w:rsidRPr="06398984">
        <w:rPr>
          <w:rFonts w:ascii="Arial" w:hAnsi="Arial" w:cs="Arial"/>
          <w:lang w:val="en-GB" w:eastAsia="ja-JP"/>
        </w:rPr>
        <w:t>R</w:t>
      </w:r>
      <w:r w:rsidR="1D39887B" w:rsidRPr="06398984">
        <w:rPr>
          <w:rFonts w:ascii="Arial" w:hAnsi="Arial" w:cs="Arial"/>
          <w:lang w:val="en-GB" w:eastAsia="ja-JP"/>
        </w:rPr>
        <w:t>ange (MR)</w:t>
      </w:r>
      <w:r w:rsidR="002922B8" w:rsidRPr="06398984">
        <w:rPr>
          <w:rFonts w:ascii="Arial" w:hAnsi="Arial" w:cs="Arial"/>
          <w:lang w:val="en-GB" w:eastAsia="ja-JP"/>
        </w:rPr>
        <w:t xml:space="preserve"> for BS-to-UE (Dense Urban in TR 38.922)</w:t>
      </w:r>
    </w:p>
    <w:p w14:paraId="65C6299F" w14:textId="794E6E63" w:rsidR="002922B8" w:rsidRPr="0064211D" w:rsidRDefault="002922B8" w:rsidP="00580726">
      <w:pPr>
        <w:pStyle w:val="ListParagraph"/>
        <w:numPr>
          <w:ilvl w:val="0"/>
          <w:numId w:val="25"/>
        </w:numPr>
        <w:rPr>
          <w:rFonts w:ascii="Arial" w:hAnsi="Arial" w:cs="Arial"/>
          <w:lang w:val="en-GB" w:eastAsia="ja-JP"/>
        </w:rPr>
      </w:pPr>
      <w:r w:rsidRPr="0064211D">
        <w:rPr>
          <w:rFonts w:ascii="Arial" w:hAnsi="Arial" w:cs="Arial"/>
          <w:lang w:val="en-GB" w:eastAsia="ja-JP"/>
        </w:rPr>
        <w:t>Pathloss model – FFS</w:t>
      </w:r>
    </w:p>
    <w:p w14:paraId="7A89A2AB" w14:textId="125E560B" w:rsidR="00202BBF" w:rsidRDefault="00506D9F" w:rsidP="00202BBF">
      <w:pPr>
        <w:pStyle w:val="ListParagraph"/>
        <w:numPr>
          <w:ilvl w:val="0"/>
          <w:numId w:val="25"/>
        </w:numPr>
        <w:rPr>
          <w:rFonts w:ascii="Arial" w:hAnsi="Arial" w:cs="Arial"/>
          <w:lang w:val="en-GB" w:eastAsia="ja-JP"/>
        </w:rPr>
      </w:pPr>
      <w:r w:rsidRPr="0064211D">
        <w:rPr>
          <w:rFonts w:ascii="Arial" w:hAnsi="Arial" w:cs="Arial"/>
          <w:lang w:val="en-GB" w:eastAsia="ja-JP"/>
        </w:rPr>
        <w:t xml:space="preserve">Simulation frequency – 2 GHz for aggressor </w:t>
      </w:r>
      <w:r w:rsidR="00202BBF" w:rsidRPr="0064211D">
        <w:rPr>
          <w:rFonts w:ascii="Arial" w:hAnsi="Arial" w:cs="Arial"/>
          <w:lang w:val="en-GB" w:eastAsia="ja-JP"/>
        </w:rPr>
        <w:t>system and 6.4 GHz for victim system</w:t>
      </w:r>
    </w:p>
    <w:p w14:paraId="4AC4BE05" w14:textId="77777777" w:rsidR="0064211D" w:rsidRPr="0064211D" w:rsidRDefault="0064211D" w:rsidP="0064211D">
      <w:pPr>
        <w:pStyle w:val="ListParagraph"/>
        <w:rPr>
          <w:rFonts w:ascii="Arial" w:hAnsi="Arial" w:cs="Arial"/>
          <w:lang w:val="en-GB" w:eastAsia="ja-JP"/>
        </w:rPr>
      </w:pPr>
    </w:p>
    <w:p w14:paraId="36B13A93" w14:textId="17D156B6" w:rsidR="0064211D" w:rsidRDefault="002D3711" w:rsidP="00E230A8">
      <w:pPr>
        <w:rPr>
          <w:sz w:val="22"/>
          <w:lang w:val="en-GB" w:eastAsia="ja-JP"/>
        </w:rPr>
      </w:pPr>
      <w:r w:rsidRPr="0064211D">
        <w:rPr>
          <w:sz w:val="22"/>
          <w:lang w:val="en-GB" w:eastAsia="ja-JP"/>
        </w:rPr>
        <w:t xml:space="preserve">During the offline discussions, further </w:t>
      </w:r>
      <w:r w:rsidR="009952F8" w:rsidRPr="0064211D">
        <w:rPr>
          <w:sz w:val="22"/>
          <w:lang w:val="en-GB" w:eastAsia="ja-JP"/>
        </w:rPr>
        <w:t xml:space="preserve">informal agreements </w:t>
      </w:r>
      <w:r w:rsidR="00C549A9">
        <w:rPr>
          <w:sz w:val="22"/>
          <w:lang w:val="en-GB" w:eastAsia="ja-JP"/>
        </w:rPr>
        <w:t>were</w:t>
      </w:r>
      <w:r w:rsidR="00B74BDB" w:rsidRPr="0064211D">
        <w:rPr>
          <w:sz w:val="22"/>
          <w:lang w:val="en-GB" w:eastAsia="ja-JP"/>
        </w:rPr>
        <w:t xml:space="preserve"> agreed to assume LoS conditions for BS-to-BS propagation and consider Free Space Path Loss model for the</w:t>
      </w:r>
      <w:r w:rsidR="0063529F" w:rsidRPr="0064211D">
        <w:rPr>
          <w:sz w:val="22"/>
          <w:lang w:val="en-GB" w:eastAsia="ja-JP"/>
        </w:rPr>
        <w:t xml:space="preserve"> calibration ac</w:t>
      </w:r>
      <w:r w:rsidR="0064211D" w:rsidRPr="0064211D">
        <w:rPr>
          <w:sz w:val="22"/>
          <w:lang w:val="en-GB" w:eastAsia="ja-JP"/>
        </w:rPr>
        <w:t>tivity.</w:t>
      </w:r>
    </w:p>
    <w:p w14:paraId="523FEAF7" w14:textId="760C705D" w:rsidR="00C549A9" w:rsidRPr="0064211D" w:rsidRDefault="00CC5F3C" w:rsidP="00E230A8">
      <w:pPr>
        <w:rPr>
          <w:sz w:val="22"/>
          <w:lang w:val="en-GB" w:eastAsia="ja-JP"/>
        </w:rPr>
      </w:pPr>
      <w:r>
        <w:rPr>
          <w:sz w:val="22"/>
          <w:lang w:val="en-GB" w:eastAsia="ja-JP"/>
        </w:rPr>
        <w:t xml:space="preserve">Further down this contribution, Section 2.1 </w:t>
      </w:r>
      <w:r w:rsidR="006E543E">
        <w:rPr>
          <w:sz w:val="22"/>
          <w:lang w:val="en-GB" w:eastAsia="ja-JP"/>
        </w:rPr>
        <w:t>presents the calibration results for BS-to-BS Urban Macro case</w:t>
      </w:r>
      <w:r w:rsidR="00A41582">
        <w:rPr>
          <w:sz w:val="22"/>
          <w:lang w:val="en-GB" w:eastAsia="ja-JP"/>
        </w:rPr>
        <w:t xml:space="preserve">, </w:t>
      </w:r>
      <w:r w:rsidR="006E543E">
        <w:rPr>
          <w:sz w:val="22"/>
          <w:lang w:val="en-GB" w:eastAsia="ja-JP"/>
        </w:rPr>
        <w:t xml:space="preserve">Section 2.2 </w:t>
      </w:r>
      <w:r w:rsidR="00A41582">
        <w:rPr>
          <w:sz w:val="22"/>
          <w:lang w:val="en-GB" w:eastAsia="ja-JP"/>
        </w:rPr>
        <w:t>presents the calibration results for BS-to-UE Urban Micro case</w:t>
      </w:r>
      <w:r w:rsidR="00811544">
        <w:rPr>
          <w:sz w:val="22"/>
          <w:lang w:val="en-GB" w:eastAsia="ja-JP"/>
        </w:rPr>
        <w:t xml:space="preserve"> and Section 2.3 </w:t>
      </w:r>
      <w:r w:rsidR="00602E63">
        <w:rPr>
          <w:sz w:val="22"/>
          <w:lang w:val="en-GB" w:eastAsia="ja-JP"/>
        </w:rPr>
        <w:t xml:space="preserve">discusses the next steps after the calibration activity. </w:t>
      </w:r>
    </w:p>
    <w:p w14:paraId="2182417A" w14:textId="526775B1" w:rsidR="00583BDA" w:rsidRDefault="00583BDA" w:rsidP="00583BDA">
      <w:pPr>
        <w:pStyle w:val="Heading2"/>
      </w:pPr>
      <w:r>
        <w:t>2.1</w:t>
      </w:r>
      <w:r>
        <w:tab/>
      </w:r>
      <w:r w:rsidR="00987502">
        <w:t>BS-to-BS Urban Macro case</w:t>
      </w:r>
    </w:p>
    <w:p w14:paraId="2D3C3898" w14:textId="40212611" w:rsidR="00E85786" w:rsidRDefault="00E85786" w:rsidP="00477679">
      <w:pPr>
        <w:pStyle w:val="Heading3"/>
      </w:pPr>
      <w:r>
        <w:t>2.1.1</w:t>
      </w:r>
      <w:r>
        <w:tab/>
      </w:r>
      <w:r w:rsidR="00987502">
        <w:t>Calibration Assumptions</w:t>
      </w:r>
    </w:p>
    <w:p w14:paraId="63FCF645" w14:textId="47A12A6B" w:rsidR="00AE3EB7" w:rsidRPr="003B7844" w:rsidRDefault="00275D21" w:rsidP="00AE3EB7">
      <w:pPr>
        <w:rPr>
          <w:rFonts w:cs="Arial"/>
          <w:sz w:val="22"/>
          <w:lang w:val="en-GB" w:eastAsia="ja-JP"/>
        </w:rPr>
      </w:pPr>
      <w:r>
        <w:rPr>
          <w:rFonts w:cs="Arial"/>
          <w:sz w:val="22"/>
          <w:lang w:val="en-GB" w:eastAsia="ja-JP"/>
        </w:rPr>
        <w:t>The assumptions are with 100% Outdoor UEs</w:t>
      </w:r>
      <w:r w:rsidR="00EA3F1B">
        <w:rPr>
          <w:rFonts w:cs="Arial"/>
          <w:sz w:val="22"/>
          <w:lang w:val="en-GB" w:eastAsia="ja-JP"/>
        </w:rPr>
        <w:t>, wrap around on</w:t>
      </w:r>
      <w:r>
        <w:rPr>
          <w:rFonts w:cs="Arial"/>
          <w:sz w:val="22"/>
          <w:lang w:val="en-GB" w:eastAsia="ja-JP"/>
        </w:rPr>
        <w:t xml:space="preserve"> and the </w:t>
      </w:r>
      <w:r w:rsidR="00924BAC">
        <w:rPr>
          <w:rFonts w:cs="Arial"/>
          <w:sz w:val="22"/>
          <w:lang w:val="en-GB" w:eastAsia="ja-JP"/>
        </w:rPr>
        <w:t>results are cross-network i.e. Aggressor BS of Network 1 to Victim BS of Net</w:t>
      </w:r>
      <w:r w:rsidR="00EA3F1B">
        <w:rPr>
          <w:rFonts w:cs="Arial"/>
          <w:sz w:val="22"/>
          <w:lang w:val="en-GB" w:eastAsia="ja-JP"/>
        </w:rPr>
        <w:t>work 2. Other assumptions are highlighted below -</w:t>
      </w:r>
    </w:p>
    <w:p w14:paraId="7A80A66E" w14:textId="77777777" w:rsidR="00AE3EB7" w:rsidRPr="003B7844" w:rsidRDefault="00AE3EB7" w:rsidP="00AE3EB7">
      <w:pPr>
        <w:pStyle w:val="ListParagraph"/>
        <w:numPr>
          <w:ilvl w:val="0"/>
          <w:numId w:val="31"/>
        </w:numPr>
        <w:rPr>
          <w:rFonts w:ascii="Arial" w:hAnsi="Arial" w:cs="Arial"/>
          <w:lang w:val="en-GB" w:eastAsia="ja-JP"/>
        </w:rPr>
      </w:pPr>
      <w:r w:rsidRPr="003B7844">
        <w:rPr>
          <w:rFonts w:ascii="Arial" w:hAnsi="Arial" w:cs="Arial"/>
          <w:lang w:val="en-GB" w:eastAsia="ja-JP"/>
        </w:rPr>
        <w:t>Aggressor</w:t>
      </w:r>
    </w:p>
    <w:p w14:paraId="347DC359" w14:textId="5C120A13" w:rsidR="00AE3EB7" w:rsidRPr="003B7844" w:rsidRDefault="00AE3EB7" w:rsidP="00AE3EB7">
      <w:pPr>
        <w:pStyle w:val="ListParagraph"/>
        <w:numPr>
          <w:ilvl w:val="1"/>
          <w:numId w:val="31"/>
        </w:numPr>
        <w:rPr>
          <w:rFonts w:ascii="Arial" w:hAnsi="Arial" w:cs="Arial"/>
          <w:lang w:val="en-GB" w:eastAsia="ja-JP"/>
        </w:rPr>
      </w:pPr>
      <w:r w:rsidRPr="003B7844">
        <w:rPr>
          <w:rFonts w:ascii="Arial" w:hAnsi="Arial" w:cs="Arial"/>
          <w:lang w:val="en-GB" w:eastAsia="ja-JP"/>
        </w:rPr>
        <w:t xml:space="preserve">Transmitting frequency – </w:t>
      </w:r>
      <w:r w:rsidR="00B14B64" w:rsidRPr="003B7844">
        <w:rPr>
          <w:rFonts w:ascii="Arial" w:hAnsi="Arial" w:cs="Arial"/>
          <w:lang w:val="en-GB" w:eastAsia="ja-JP"/>
        </w:rPr>
        <w:t>2</w:t>
      </w:r>
      <w:r w:rsidRPr="003B7844">
        <w:rPr>
          <w:rFonts w:ascii="Arial" w:hAnsi="Arial" w:cs="Arial"/>
          <w:lang w:val="en-GB" w:eastAsia="ja-JP"/>
        </w:rPr>
        <w:t xml:space="preserve"> GHz</w:t>
      </w:r>
    </w:p>
    <w:p w14:paraId="57BBEAB2" w14:textId="77777777" w:rsidR="00AE3EB7" w:rsidRPr="003B7844" w:rsidRDefault="00AE3EB7" w:rsidP="00AE3EB7">
      <w:pPr>
        <w:pStyle w:val="ListParagraph"/>
        <w:numPr>
          <w:ilvl w:val="1"/>
          <w:numId w:val="31"/>
        </w:numPr>
        <w:rPr>
          <w:rFonts w:ascii="Arial" w:hAnsi="Arial" w:cs="Arial"/>
          <w:lang w:val="en-GB" w:eastAsia="ja-JP"/>
        </w:rPr>
      </w:pPr>
      <w:r w:rsidRPr="003B7844">
        <w:rPr>
          <w:rFonts w:ascii="Arial" w:hAnsi="Arial" w:cs="Arial"/>
          <w:lang w:val="en-GB" w:eastAsia="ja-JP"/>
        </w:rPr>
        <w:t>Antenna model – AAS with 4x8 array and 3x1 subarray antenna configuration</w:t>
      </w:r>
    </w:p>
    <w:p w14:paraId="5F27A5CC" w14:textId="4CFACE8C" w:rsidR="00AE3EB7" w:rsidRPr="003B7844" w:rsidRDefault="00AE3EB7" w:rsidP="00AE3EB7">
      <w:pPr>
        <w:pStyle w:val="ListParagraph"/>
        <w:numPr>
          <w:ilvl w:val="1"/>
          <w:numId w:val="31"/>
        </w:numPr>
        <w:rPr>
          <w:rFonts w:ascii="Arial" w:hAnsi="Arial" w:cs="Arial"/>
          <w:lang w:val="en-GB" w:eastAsia="ja-JP"/>
        </w:rPr>
      </w:pPr>
      <w:r w:rsidRPr="003B7844">
        <w:rPr>
          <w:rFonts w:ascii="Arial" w:hAnsi="Arial" w:cs="Arial"/>
          <w:lang w:val="en-GB" w:eastAsia="ja-JP"/>
        </w:rPr>
        <w:t xml:space="preserve">Gain at Tx – </w:t>
      </w:r>
      <w:r w:rsidR="00B14B64" w:rsidRPr="003B7844">
        <w:rPr>
          <w:rFonts w:ascii="Arial" w:hAnsi="Arial" w:cs="Arial"/>
          <w:lang w:val="en-GB" w:eastAsia="ja-JP"/>
        </w:rPr>
        <w:t>full array gain</w:t>
      </w:r>
    </w:p>
    <w:p w14:paraId="0F107BF9" w14:textId="5AE09EB7" w:rsidR="00AE3EB7" w:rsidRPr="003B7844" w:rsidRDefault="00AE3EB7" w:rsidP="00AE3EB7">
      <w:pPr>
        <w:pStyle w:val="ListParagraph"/>
        <w:numPr>
          <w:ilvl w:val="1"/>
          <w:numId w:val="31"/>
        </w:numPr>
        <w:rPr>
          <w:rFonts w:ascii="Arial" w:hAnsi="Arial" w:cs="Arial"/>
          <w:lang w:val="en-GB" w:eastAsia="ja-JP"/>
        </w:rPr>
      </w:pPr>
      <w:r w:rsidRPr="003B7844">
        <w:rPr>
          <w:rFonts w:ascii="Arial" w:hAnsi="Arial" w:cs="Arial"/>
          <w:lang w:val="en-GB" w:eastAsia="ja-JP"/>
        </w:rPr>
        <w:t>BS to BS Propagation model – FSPL</w:t>
      </w:r>
    </w:p>
    <w:p w14:paraId="07902FE4" w14:textId="6196DF84" w:rsidR="00AE3EB7" w:rsidRPr="003B7844" w:rsidRDefault="00AE3EB7" w:rsidP="00AE3EB7">
      <w:pPr>
        <w:pStyle w:val="ListParagraph"/>
        <w:numPr>
          <w:ilvl w:val="1"/>
          <w:numId w:val="31"/>
        </w:numPr>
        <w:rPr>
          <w:rFonts w:ascii="Arial" w:hAnsi="Arial" w:cs="Arial"/>
          <w:lang w:val="fr-FR" w:eastAsia="ja-JP"/>
        </w:rPr>
      </w:pPr>
      <w:r w:rsidRPr="003B7844">
        <w:rPr>
          <w:rFonts w:ascii="Arial" w:hAnsi="Arial" w:cs="Arial"/>
          <w:lang w:val="fr-FR" w:eastAsia="ja-JP"/>
        </w:rPr>
        <w:t>BS to UE Propagation model - TR 38.901</w:t>
      </w:r>
    </w:p>
    <w:p w14:paraId="0670B26A" w14:textId="77777777" w:rsidR="00AE3EB7" w:rsidRPr="003B7844" w:rsidRDefault="00AE3EB7" w:rsidP="00AE3EB7">
      <w:pPr>
        <w:pStyle w:val="ListParagraph"/>
        <w:numPr>
          <w:ilvl w:val="1"/>
          <w:numId w:val="31"/>
        </w:numPr>
        <w:rPr>
          <w:rFonts w:ascii="Arial" w:hAnsi="Arial" w:cs="Arial"/>
          <w:lang w:val="en-GB" w:eastAsia="ja-JP"/>
        </w:rPr>
      </w:pPr>
      <w:r w:rsidRPr="003B7844">
        <w:rPr>
          <w:rFonts w:ascii="Arial" w:hAnsi="Arial" w:cs="Arial"/>
          <w:lang w:val="en-GB" w:eastAsia="ja-JP"/>
        </w:rPr>
        <w:t>Antenna height – 25m</w:t>
      </w:r>
    </w:p>
    <w:p w14:paraId="2C792D67" w14:textId="77777777" w:rsidR="00AE3EB7" w:rsidRPr="003B7844" w:rsidRDefault="00AE3EB7" w:rsidP="00AE3EB7">
      <w:pPr>
        <w:pStyle w:val="ListParagraph"/>
        <w:numPr>
          <w:ilvl w:val="0"/>
          <w:numId w:val="31"/>
        </w:numPr>
        <w:rPr>
          <w:rFonts w:ascii="Arial" w:hAnsi="Arial" w:cs="Arial"/>
          <w:lang w:val="en-GB" w:eastAsia="ja-JP"/>
        </w:rPr>
      </w:pPr>
      <w:r w:rsidRPr="003B7844">
        <w:rPr>
          <w:rFonts w:ascii="Arial" w:hAnsi="Arial" w:cs="Arial"/>
          <w:lang w:val="en-GB" w:eastAsia="ja-JP"/>
        </w:rPr>
        <w:t>Victim</w:t>
      </w:r>
    </w:p>
    <w:p w14:paraId="3FCF984B" w14:textId="77777777" w:rsidR="00AE3EB7" w:rsidRPr="003B7844" w:rsidRDefault="00AE3EB7" w:rsidP="00AE3EB7">
      <w:pPr>
        <w:pStyle w:val="ListParagraph"/>
        <w:numPr>
          <w:ilvl w:val="1"/>
          <w:numId w:val="31"/>
        </w:numPr>
        <w:rPr>
          <w:rFonts w:ascii="Arial" w:hAnsi="Arial" w:cs="Arial"/>
          <w:lang w:val="en-GB" w:eastAsia="ja-JP"/>
        </w:rPr>
      </w:pPr>
      <w:r w:rsidRPr="003B7844">
        <w:rPr>
          <w:rFonts w:ascii="Arial" w:hAnsi="Arial" w:cs="Arial"/>
          <w:lang w:val="en-GB" w:eastAsia="ja-JP"/>
        </w:rPr>
        <w:lastRenderedPageBreak/>
        <w:t>Transmitting frequency – 6.4 GHz</w:t>
      </w:r>
    </w:p>
    <w:p w14:paraId="1A1240DA" w14:textId="77777777" w:rsidR="00AE3EB7" w:rsidRPr="003B7844" w:rsidRDefault="00AE3EB7" w:rsidP="00AE3EB7">
      <w:pPr>
        <w:pStyle w:val="ListParagraph"/>
        <w:numPr>
          <w:ilvl w:val="1"/>
          <w:numId w:val="31"/>
        </w:numPr>
        <w:rPr>
          <w:rFonts w:ascii="Arial" w:hAnsi="Arial" w:cs="Arial"/>
          <w:lang w:val="en-GB" w:eastAsia="ja-JP"/>
        </w:rPr>
      </w:pPr>
      <w:r w:rsidRPr="003B7844">
        <w:rPr>
          <w:rFonts w:ascii="Arial" w:hAnsi="Arial" w:cs="Arial"/>
          <w:lang w:val="en-GB" w:eastAsia="ja-JP"/>
        </w:rPr>
        <w:t>Antenna model – AAS with 8x16 array and 3x1 subarray antenna configuration</w:t>
      </w:r>
    </w:p>
    <w:p w14:paraId="494EA93C" w14:textId="77777777" w:rsidR="00AE3EB7" w:rsidRPr="003B7844" w:rsidRDefault="00AE3EB7" w:rsidP="00AE3EB7">
      <w:pPr>
        <w:pStyle w:val="ListParagraph"/>
        <w:numPr>
          <w:ilvl w:val="1"/>
          <w:numId w:val="31"/>
        </w:numPr>
        <w:rPr>
          <w:rFonts w:ascii="Arial" w:hAnsi="Arial" w:cs="Arial"/>
          <w:lang w:val="en-GB" w:eastAsia="ja-JP"/>
        </w:rPr>
      </w:pPr>
      <w:r w:rsidRPr="003B7844">
        <w:rPr>
          <w:rFonts w:ascii="Arial" w:hAnsi="Arial" w:cs="Arial"/>
          <w:lang w:val="en-GB" w:eastAsia="ja-JP"/>
        </w:rPr>
        <w:t>Gain at Rx – full array gain</w:t>
      </w:r>
    </w:p>
    <w:p w14:paraId="69BF4BEB" w14:textId="74A8B9D7" w:rsidR="00AE3EB7" w:rsidRPr="003B7844" w:rsidRDefault="00AE3EB7" w:rsidP="00AE3EB7">
      <w:pPr>
        <w:pStyle w:val="ListParagraph"/>
        <w:numPr>
          <w:ilvl w:val="1"/>
          <w:numId w:val="31"/>
        </w:numPr>
        <w:rPr>
          <w:rFonts w:ascii="Arial" w:hAnsi="Arial" w:cs="Arial"/>
          <w:lang w:val="en-GB" w:eastAsia="ja-JP"/>
        </w:rPr>
      </w:pPr>
      <w:r w:rsidRPr="003B7844">
        <w:rPr>
          <w:rFonts w:ascii="Arial" w:hAnsi="Arial" w:cs="Arial"/>
          <w:lang w:val="en-GB" w:eastAsia="ja-JP"/>
        </w:rPr>
        <w:t>Propagation model – FSPL</w:t>
      </w:r>
    </w:p>
    <w:p w14:paraId="6AD07080" w14:textId="77777777" w:rsidR="00AE3EB7" w:rsidRPr="003B7844" w:rsidRDefault="00AE3EB7" w:rsidP="00AE3EB7">
      <w:pPr>
        <w:pStyle w:val="ListParagraph"/>
        <w:numPr>
          <w:ilvl w:val="1"/>
          <w:numId w:val="31"/>
        </w:numPr>
        <w:rPr>
          <w:rFonts w:ascii="Arial" w:hAnsi="Arial" w:cs="Arial"/>
          <w:lang w:val="en-GB" w:eastAsia="ja-JP"/>
        </w:rPr>
      </w:pPr>
      <w:r w:rsidRPr="003B7844">
        <w:rPr>
          <w:rFonts w:ascii="Arial" w:hAnsi="Arial" w:cs="Arial"/>
          <w:lang w:val="en-GB" w:eastAsia="ja-JP"/>
        </w:rPr>
        <w:t>Antenna height – 25m</w:t>
      </w:r>
    </w:p>
    <w:p w14:paraId="57514626" w14:textId="77777777" w:rsidR="00AE3EB7" w:rsidRPr="00AE3EB7" w:rsidRDefault="00AE3EB7" w:rsidP="00AE3EB7">
      <w:pPr>
        <w:rPr>
          <w:lang w:val="en-GB" w:eastAsia="ja-JP"/>
        </w:rPr>
      </w:pPr>
    </w:p>
    <w:p w14:paraId="3C96D3C0" w14:textId="232BD9C7" w:rsidR="00420976" w:rsidRDefault="00420976" w:rsidP="00477679">
      <w:pPr>
        <w:pStyle w:val="Heading3"/>
      </w:pPr>
      <w:r>
        <w:t>2.1.2</w:t>
      </w:r>
      <w:r>
        <w:tab/>
      </w:r>
      <w:r w:rsidR="00987502">
        <w:t>Calibration Results</w:t>
      </w:r>
    </w:p>
    <w:p w14:paraId="30D9DCC0" w14:textId="23D82285" w:rsidR="008F2FE2" w:rsidRDefault="00D8460B" w:rsidP="007C0E5D">
      <w:pPr>
        <w:pStyle w:val="Heading4"/>
      </w:pPr>
      <w:r>
        <w:t>2.1.2.1</w:t>
      </w:r>
      <w:r>
        <w:tab/>
        <w:t>Step 1 – Only Pathloss</w:t>
      </w:r>
    </w:p>
    <w:p w14:paraId="50F16B46" w14:textId="5C7A3183" w:rsidR="4B36C66E" w:rsidRPr="00BB3509" w:rsidRDefault="4B36C66E" w:rsidP="00BB3509">
      <w:pPr>
        <w:rPr>
          <w:sz w:val="22"/>
        </w:rPr>
      </w:pPr>
      <w:r w:rsidRPr="00BB3509">
        <w:rPr>
          <w:sz w:val="22"/>
        </w:rPr>
        <w:t>Figure 2.1.2</w:t>
      </w:r>
      <w:r w:rsidR="00C42522" w:rsidRPr="00BB3509">
        <w:rPr>
          <w:sz w:val="22"/>
        </w:rPr>
        <w:t>.1</w:t>
      </w:r>
      <w:r w:rsidRPr="00BB3509">
        <w:rPr>
          <w:sz w:val="22"/>
        </w:rPr>
        <w:t>-1 shows the BS-to-BS Path Loss between different networks. The Path loss is deterministic and defined only by the</w:t>
      </w:r>
      <w:r w:rsidR="0A09ADD6" w:rsidRPr="00BB3509">
        <w:rPr>
          <w:sz w:val="22"/>
        </w:rPr>
        <w:t xml:space="preserve"> assumed</w:t>
      </w:r>
      <w:r w:rsidRPr="00BB3509">
        <w:rPr>
          <w:sz w:val="22"/>
        </w:rPr>
        <w:t xml:space="preserve"> </w:t>
      </w:r>
      <w:r w:rsidR="001270C6" w:rsidRPr="00BB3509">
        <w:rPr>
          <w:sz w:val="22"/>
        </w:rPr>
        <w:t>F</w:t>
      </w:r>
      <w:r w:rsidRPr="00BB3509">
        <w:rPr>
          <w:sz w:val="22"/>
        </w:rPr>
        <w:t>ree space model</w:t>
      </w:r>
      <w:r w:rsidR="798C3CB7" w:rsidRPr="00BB3509">
        <w:rPr>
          <w:sz w:val="22"/>
        </w:rPr>
        <w:t>.</w:t>
      </w:r>
    </w:p>
    <w:p w14:paraId="677FE0A9" w14:textId="1C147415" w:rsidR="4AEBAD0F" w:rsidRDefault="4AEBAD0F" w:rsidP="00BB3509">
      <w:pPr>
        <w:jc w:val="center"/>
      </w:pPr>
      <w:r>
        <w:rPr>
          <w:noProof/>
        </w:rPr>
        <w:lastRenderedPageBreak/>
        <w:drawing>
          <wp:inline distT="0" distB="0" distL="0" distR="0" wp14:anchorId="2BDB86FC" wp14:editId="0D4622B4">
            <wp:extent cx="5222240" cy="4267200"/>
            <wp:effectExtent l="0" t="0" r="0" b="0"/>
            <wp:docPr id="2432884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328848" name=""/>
                    <pic:cNvPicPr/>
                  </pic:nvPicPr>
                  <pic:blipFill>
                    <a:blip r:embed="rId11">
                      <a:extLst>
                        <a:ext uri="{28A0092B-C50C-407E-A947-70E740481C1C}">
                          <a14:useLocalDpi xmlns:a14="http://schemas.microsoft.com/office/drawing/2010/main"/>
                        </a:ext>
                      </a:extLst>
                    </a:blip>
                    <a:stretch>
                      <a:fillRect/>
                    </a:stretch>
                  </pic:blipFill>
                  <pic:spPr>
                    <a:xfrm>
                      <a:off x="0" y="0"/>
                      <a:ext cx="5222240" cy="4267200"/>
                    </a:xfrm>
                    <a:prstGeom prst="rect">
                      <a:avLst/>
                    </a:prstGeom>
                  </pic:spPr>
                </pic:pic>
              </a:graphicData>
            </a:graphic>
          </wp:inline>
        </w:drawing>
      </w:r>
    </w:p>
    <w:p w14:paraId="43BA8FF0" w14:textId="66EB597C" w:rsidR="62607A93" w:rsidRPr="00BB3509" w:rsidRDefault="62607A93" w:rsidP="68500983">
      <w:pPr>
        <w:jc w:val="center"/>
        <w:rPr>
          <w:b/>
          <w:bCs/>
          <w:sz w:val="22"/>
        </w:rPr>
      </w:pPr>
      <w:r w:rsidRPr="00BB3509">
        <w:rPr>
          <w:b/>
          <w:bCs/>
          <w:sz w:val="22"/>
        </w:rPr>
        <w:t>Figure 2.1.2</w:t>
      </w:r>
      <w:r w:rsidR="00AF3384" w:rsidRPr="00BB3509">
        <w:rPr>
          <w:b/>
          <w:bCs/>
          <w:sz w:val="22"/>
        </w:rPr>
        <w:t>.1</w:t>
      </w:r>
      <w:r w:rsidRPr="00BB3509">
        <w:rPr>
          <w:b/>
          <w:bCs/>
          <w:sz w:val="22"/>
        </w:rPr>
        <w:t>-1 BS to BS Path Loss</w:t>
      </w:r>
    </w:p>
    <w:p w14:paraId="62E35EF7" w14:textId="6CACAAE7" w:rsidR="00D8460B" w:rsidRDefault="00D8460B" w:rsidP="007C0E5D">
      <w:pPr>
        <w:pStyle w:val="Heading4"/>
      </w:pPr>
      <w:r w:rsidRPr="38A23BB8">
        <w:rPr>
          <w:lang w:val="en-US"/>
        </w:rPr>
        <w:t>2.1.2.2</w:t>
      </w:r>
      <w:r>
        <w:tab/>
      </w:r>
      <w:r w:rsidRPr="38A23BB8">
        <w:rPr>
          <w:lang w:val="en-US"/>
        </w:rPr>
        <w:t xml:space="preserve">Step 2 – Pathloss </w:t>
      </w:r>
      <w:r w:rsidR="007C0E5D" w:rsidRPr="38A23BB8">
        <w:rPr>
          <w:lang w:val="en-US"/>
        </w:rPr>
        <w:t xml:space="preserve">+ aggressor </w:t>
      </w:r>
      <w:r w:rsidR="00E362A3" w:rsidRPr="38A23BB8">
        <w:rPr>
          <w:lang w:val="en-US"/>
        </w:rPr>
        <w:t>element gain at Tx</w:t>
      </w:r>
    </w:p>
    <w:p w14:paraId="36C9B90A" w14:textId="4FA932DC" w:rsidR="7E3737A0" w:rsidRPr="00BB3509" w:rsidRDefault="7E3737A0" w:rsidP="00BB3509">
      <w:pPr>
        <w:rPr>
          <w:sz w:val="22"/>
        </w:rPr>
      </w:pPr>
      <w:r w:rsidRPr="00BB3509">
        <w:rPr>
          <w:sz w:val="22"/>
        </w:rPr>
        <w:t>Figure 2.1.2</w:t>
      </w:r>
      <w:r w:rsidR="009A666E" w:rsidRPr="00BB3509">
        <w:rPr>
          <w:sz w:val="22"/>
        </w:rPr>
        <w:t>.2</w:t>
      </w:r>
      <w:r w:rsidRPr="00BB3509">
        <w:rPr>
          <w:sz w:val="22"/>
        </w:rPr>
        <w:t>-</w:t>
      </w:r>
      <w:r w:rsidR="00E67E7C" w:rsidRPr="00BB3509">
        <w:rPr>
          <w:sz w:val="22"/>
        </w:rPr>
        <w:t>1</w:t>
      </w:r>
      <w:r w:rsidRPr="00BB3509">
        <w:rPr>
          <w:sz w:val="22"/>
        </w:rPr>
        <w:t xml:space="preserve"> shows the BS to BS path loss plus </w:t>
      </w:r>
      <w:r w:rsidR="00D311B5">
        <w:rPr>
          <w:sz w:val="22"/>
        </w:rPr>
        <w:t>element gain</w:t>
      </w:r>
      <w:r w:rsidRPr="00BB3509">
        <w:rPr>
          <w:sz w:val="22"/>
        </w:rPr>
        <w:t xml:space="preserve"> at the aggressor networ</w:t>
      </w:r>
      <w:r w:rsidR="43DCDE1E" w:rsidRPr="00BB3509">
        <w:rPr>
          <w:sz w:val="22"/>
        </w:rPr>
        <w:t>k</w:t>
      </w:r>
      <w:r w:rsidR="00D311B5">
        <w:rPr>
          <w:sz w:val="22"/>
        </w:rPr>
        <w:t>. T</w:t>
      </w:r>
      <w:r w:rsidRPr="00BB3509">
        <w:rPr>
          <w:sz w:val="22"/>
        </w:rPr>
        <w:t xml:space="preserve">he </w:t>
      </w:r>
      <w:r w:rsidR="5064EF38" w:rsidRPr="00BB3509">
        <w:rPr>
          <w:sz w:val="22"/>
        </w:rPr>
        <w:t>m</w:t>
      </w:r>
      <w:r w:rsidRPr="00BB3509">
        <w:rPr>
          <w:sz w:val="22"/>
        </w:rPr>
        <w:t xml:space="preserve">odel of the antenna at the </w:t>
      </w:r>
      <w:r w:rsidR="49FEFC5F" w:rsidRPr="00BB3509">
        <w:rPr>
          <w:sz w:val="22"/>
        </w:rPr>
        <w:t xml:space="preserve">aggressor </w:t>
      </w:r>
      <w:r w:rsidR="553001FE" w:rsidRPr="00BB3509">
        <w:rPr>
          <w:sz w:val="22"/>
        </w:rPr>
        <w:t>transmitter</w:t>
      </w:r>
      <w:r w:rsidRPr="00BB3509">
        <w:rPr>
          <w:sz w:val="22"/>
        </w:rPr>
        <w:t xml:space="preserve"> and</w:t>
      </w:r>
      <w:r w:rsidR="49069687" w:rsidRPr="00BB3509">
        <w:rPr>
          <w:sz w:val="22"/>
        </w:rPr>
        <w:t xml:space="preserve"> </w:t>
      </w:r>
      <w:r w:rsidR="0491FEA8" w:rsidRPr="00BB3509">
        <w:rPr>
          <w:sz w:val="22"/>
        </w:rPr>
        <w:t xml:space="preserve">victim </w:t>
      </w:r>
      <w:r w:rsidRPr="00BB3509">
        <w:rPr>
          <w:sz w:val="22"/>
        </w:rPr>
        <w:t>receiver in the Urban Macro scenario include sub</w:t>
      </w:r>
      <w:r w:rsidR="549D7BDE" w:rsidRPr="00BB3509">
        <w:rPr>
          <w:sz w:val="22"/>
        </w:rPr>
        <w:t>arra</w:t>
      </w:r>
      <w:r w:rsidR="3026F84D" w:rsidRPr="00BB3509">
        <w:rPr>
          <w:sz w:val="22"/>
        </w:rPr>
        <w:t>ys</w:t>
      </w:r>
      <w:r w:rsidR="6C64195D" w:rsidRPr="00BB3509">
        <w:rPr>
          <w:sz w:val="22"/>
        </w:rPr>
        <w:t>.</w:t>
      </w:r>
    </w:p>
    <w:p w14:paraId="76F40790" w14:textId="4E24E583" w:rsidR="36ECE934" w:rsidRPr="00BB3509" w:rsidRDefault="36ECE934" w:rsidP="36ECE934">
      <w:pPr>
        <w:rPr>
          <w:sz w:val="22"/>
        </w:rPr>
      </w:pPr>
    </w:p>
    <w:p w14:paraId="3A654BBC" w14:textId="4B760EF6" w:rsidR="15B95CF2" w:rsidRDefault="15B95CF2" w:rsidP="00BB3509">
      <w:pPr>
        <w:jc w:val="center"/>
      </w:pPr>
      <w:r>
        <w:rPr>
          <w:noProof/>
        </w:rPr>
        <w:lastRenderedPageBreak/>
        <w:drawing>
          <wp:inline distT="0" distB="0" distL="0" distR="0" wp14:anchorId="00788C98" wp14:editId="64F66AEF">
            <wp:extent cx="5478689" cy="4476750"/>
            <wp:effectExtent l="0" t="0" r="0" b="0"/>
            <wp:docPr id="115362416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3624166" name=""/>
                    <pic:cNvPicPr/>
                  </pic:nvPicPr>
                  <pic:blipFill>
                    <a:blip r:embed="rId12">
                      <a:extLst>
                        <a:ext uri="{28A0092B-C50C-407E-A947-70E740481C1C}">
                          <a14:useLocalDpi xmlns:a14="http://schemas.microsoft.com/office/drawing/2010/main"/>
                        </a:ext>
                      </a:extLst>
                    </a:blip>
                    <a:stretch>
                      <a:fillRect/>
                    </a:stretch>
                  </pic:blipFill>
                  <pic:spPr>
                    <a:xfrm>
                      <a:off x="0" y="0"/>
                      <a:ext cx="5478689" cy="4476750"/>
                    </a:xfrm>
                    <a:prstGeom prst="rect">
                      <a:avLst/>
                    </a:prstGeom>
                  </pic:spPr>
                </pic:pic>
              </a:graphicData>
            </a:graphic>
          </wp:inline>
        </w:drawing>
      </w:r>
    </w:p>
    <w:p w14:paraId="6321D167" w14:textId="159506BB" w:rsidR="68500983" w:rsidRDefault="68500983" w:rsidP="68500983"/>
    <w:p w14:paraId="667061E8" w14:textId="16C9AC50" w:rsidR="1B110F3A" w:rsidRDefault="1B110F3A" w:rsidP="00BB3509">
      <w:pPr>
        <w:jc w:val="center"/>
      </w:pPr>
    </w:p>
    <w:p w14:paraId="51B6B0FD" w14:textId="30673EF3" w:rsidR="6C64195D" w:rsidRPr="00BB3509" w:rsidRDefault="6C64195D" w:rsidP="68500983">
      <w:pPr>
        <w:jc w:val="center"/>
        <w:rPr>
          <w:b/>
          <w:bCs/>
          <w:sz w:val="22"/>
        </w:rPr>
      </w:pPr>
      <w:r w:rsidRPr="00BB3509">
        <w:rPr>
          <w:b/>
          <w:bCs/>
          <w:sz w:val="22"/>
        </w:rPr>
        <w:t>Figure 2.1.2</w:t>
      </w:r>
      <w:r w:rsidR="009A666E">
        <w:rPr>
          <w:b/>
          <w:bCs/>
          <w:sz w:val="22"/>
        </w:rPr>
        <w:t>.2-1</w:t>
      </w:r>
      <w:r w:rsidRPr="00BB3509">
        <w:rPr>
          <w:b/>
          <w:bCs/>
          <w:sz w:val="22"/>
        </w:rPr>
        <w:t xml:space="preserve"> BS to BS Path Loss with aggressor transmitter subarray gain.</w:t>
      </w:r>
    </w:p>
    <w:p w14:paraId="5EE49385" w14:textId="1DE52C18" w:rsidR="68500983" w:rsidRDefault="68500983" w:rsidP="68500983">
      <w:pPr>
        <w:jc w:val="center"/>
      </w:pPr>
    </w:p>
    <w:p w14:paraId="4BF4C052" w14:textId="035563C7" w:rsidR="00E362A3" w:rsidRDefault="00E362A3" w:rsidP="007C0E5D">
      <w:pPr>
        <w:pStyle w:val="Heading4"/>
      </w:pPr>
      <w:r>
        <w:lastRenderedPageBreak/>
        <w:t>2.1.2.3</w:t>
      </w:r>
      <w:r>
        <w:tab/>
        <w:t xml:space="preserve">Step 3 – Pathloss </w:t>
      </w:r>
      <w:r w:rsidR="007C0E5D">
        <w:t>+ aggressor</w:t>
      </w:r>
      <w:r>
        <w:t xml:space="preserve"> </w:t>
      </w:r>
      <w:r w:rsidR="006D6A49">
        <w:t>array gain at Tx</w:t>
      </w:r>
    </w:p>
    <w:p w14:paraId="5FF3DE4C" w14:textId="03E6BF08" w:rsidR="2DFDE3AB" w:rsidRPr="00BB3509" w:rsidRDefault="2DFDE3AB" w:rsidP="00BB3509">
      <w:pPr>
        <w:rPr>
          <w:sz w:val="22"/>
        </w:rPr>
      </w:pPr>
      <w:r w:rsidRPr="00BB3509">
        <w:rPr>
          <w:sz w:val="22"/>
        </w:rPr>
        <w:t>Figure 2.1.2</w:t>
      </w:r>
      <w:r w:rsidR="00A07417">
        <w:rPr>
          <w:sz w:val="22"/>
        </w:rPr>
        <w:t>.3</w:t>
      </w:r>
      <w:r w:rsidRPr="00BB3509">
        <w:rPr>
          <w:sz w:val="22"/>
        </w:rPr>
        <w:t>-</w:t>
      </w:r>
      <w:r w:rsidR="00A07417">
        <w:rPr>
          <w:sz w:val="22"/>
        </w:rPr>
        <w:t>1</w:t>
      </w:r>
      <w:r w:rsidRPr="00BB3509">
        <w:rPr>
          <w:sz w:val="22"/>
        </w:rPr>
        <w:t xml:space="preserve"> shows the BS to BS path loss plus the aggressor full array gain</w:t>
      </w:r>
      <w:r w:rsidR="41E2F0A0" w:rsidRPr="00BB3509">
        <w:rPr>
          <w:sz w:val="22"/>
        </w:rPr>
        <w:t xml:space="preserve"> between two networks</w:t>
      </w:r>
      <w:r w:rsidRPr="00BB3509">
        <w:rPr>
          <w:sz w:val="22"/>
        </w:rPr>
        <w:t xml:space="preserve">. The gain does not </w:t>
      </w:r>
      <w:r w:rsidR="39D1BDBE" w:rsidRPr="00BB3509">
        <w:rPr>
          <w:sz w:val="22"/>
        </w:rPr>
        <w:t xml:space="preserve">account for dual polarization, as we assume that </w:t>
      </w:r>
      <w:r w:rsidR="2F431A3C" w:rsidRPr="00BB3509">
        <w:rPr>
          <w:sz w:val="22"/>
        </w:rPr>
        <w:t>the two polarizations would be uncorrelated at the victim receiver BS.</w:t>
      </w:r>
    </w:p>
    <w:p w14:paraId="2285BEF5" w14:textId="036CC01E" w:rsidR="4DB1FDE4" w:rsidRDefault="4DB1FDE4" w:rsidP="00BB3509">
      <w:pPr>
        <w:jc w:val="center"/>
      </w:pPr>
      <w:r>
        <w:rPr>
          <w:noProof/>
        </w:rPr>
        <w:drawing>
          <wp:inline distT="0" distB="0" distL="0" distR="0" wp14:anchorId="286DBB33" wp14:editId="79354FCE">
            <wp:extent cx="4676775" cy="3821489"/>
            <wp:effectExtent l="0" t="0" r="0" b="0"/>
            <wp:docPr id="1057940340"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7940340" name=""/>
                    <pic:cNvPicPr/>
                  </pic:nvPicPr>
                  <pic:blipFill>
                    <a:blip r:embed="rId13">
                      <a:extLst>
                        <a:ext uri="{28A0092B-C50C-407E-A947-70E740481C1C}">
                          <a14:useLocalDpi xmlns:a14="http://schemas.microsoft.com/office/drawing/2010/main"/>
                        </a:ext>
                      </a:extLst>
                    </a:blip>
                    <a:stretch>
                      <a:fillRect/>
                    </a:stretch>
                  </pic:blipFill>
                  <pic:spPr>
                    <a:xfrm>
                      <a:off x="0" y="0"/>
                      <a:ext cx="4676775" cy="3821489"/>
                    </a:xfrm>
                    <a:prstGeom prst="rect">
                      <a:avLst/>
                    </a:prstGeom>
                  </pic:spPr>
                </pic:pic>
              </a:graphicData>
            </a:graphic>
          </wp:inline>
        </w:drawing>
      </w:r>
    </w:p>
    <w:p w14:paraId="7A06C3AC" w14:textId="5C33CAFD" w:rsidR="2F772B08" w:rsidRPr="00BB3509" w:rsidRDefault="2F772B08" w:rsidP="68500983">
      <w:pPr>
        <w:jc w:val="center"/>
        <w:rPr>
          <w:b/>
          <w:bCs/>
          <w:sz w:val="22"/>
        </w:rPr>
      </w:pPr>
      <w:r w:rsidRPr="00BB3509">
        <w:rPr>
          <w:b/>
          <w:bCs/>
          <w:sz w:val="22"/>
        </w:rPr>
        <w:t>Figure 2.1.2</w:t>
      </w:r>
      <w:r w:rsidR="00A07417" w:rsidRPr="00BB3509">
        <w:rPr>
          <w:b/>
          <w:bCs/>
          <w:sz w:val="22"/>
        </w:rPr>
        <w:t>.3</w:t>
      </w:r>
      <w:r w:rsidRPr="00BB3509">
        <w:rPr>
          <w:b/>
          <w:bCs/>
          <w:sz w:val="22"/>
        </w:rPr>
        <w:t>-</w:t>
      </w:r>
      <w:r w:rsidR="00A07417" w:rsidRPr="00BB3509">
        <w:rPr>
          <w:b/>
          <w:bCs/>
          <w:sz w:val="22"/>
        </w:rPr>
        <w:t>1</w:t>
      </w:r>
      <w:r w:rsidRPr="00BB3509">
        <w:rPr>
          <w:b/>
          <w:bCs/>
          <w:sz w:val="22"/>
        </w:rPr>
        <w:t xml:space="preserve"> BS to BS Path Loss with aggressor transmitter array gain.</w:t>
      </w:r>
    </w:p>
    <w:p w14:paraId="4B8A5573" w14:textId="77777777" w:rsidR="0048614B" w:rsidRPr="00BB3509" w:rsidRDefault="0048614B" w:rsidP="00BB3509">
      <w:pPr>
        <w:rPr>
          <w:lang w:val="en-IN"/>
        </w:rPr>
      </w:pPr>
    </w:p>
    <w:p w14:paraId="28596BF9" w14:textId="50DF399B" w:rsidR="006D6A49" w:rsidRDefault="006D6A49" w:rsidP="007C0E5D">
      <w:pPr>
        <w:pStyle w:val="Heading4"/>
      </w:pPr>
      <w:r>
        <w:lastRenderedPageBreak/>
        <w:t>2.1.2.4</w:t>
      </w:r>
      <w:r>
        <w:tab/>
        <w:t>Step 4 – Path loss</w:t>
      </w:r>
      <w:r w:rsidR="007C0E5D">
        <w:rPr>
          <w:lang w:val="en-IN"/>
        </w:rPr>
        <w:t xml:space="preserve"> +</w:t>
      </w:r>
      <w:r>
        <w:t xml:space="preserve"> </w:t>
      </w:r>
      <w:r w:rsidR="007C0E5D">
        <w:t xml:space="preserve">aggressor </w:t>
      </w:r>
      <w:r>
        <w:t xml:space="preserve">array gain at Tx </w:t>
      </w:r>
      <w:r w:rsidR="007C0E5D">
        <w:t>+</w:t>
      </w:r>
      <w:r>
        <w:t xml:space="preserve"> victim array gain</w:t>
      </w:r>
      <w:r w:rsidR="007C0E5D">
        <w:t xml:space="preserve"> at Rx</w:t>
      </w:r>
    </w:p>
    <w:p w14:paraId="76E180AA" w14:textId="21C4E68C" w:rsidR="19FFEE4F" w:rsidRPr="00BB3509" w:rsidRDefault="19FFEE4F" w:rsidP="00BB3509">
      <w:pPr>
        <w:rPr>
          <w:sz w:val="22"/>
        </w:rPr>
      </w:pPr>
      <w:r w:rsidRPr="00BB3509">
        <w:rPr>
          <w:sz w:val="22"/>
        </w:rPr>
        <w:t>Finally, Figure 2.1.2</w:t>
      </w:r>
      <w:r w:rsidR="00A07417" w:rsidRPr="00BB3509">
        <w:rPr>
          <w:sz w:val="22"/>
        </w:rPr>
        <w:t>.4</w:t>
      </w:r>
      <w:r w:rsidRPr="00BB3509">
        <w:rPr>
          <w:sz w:val="22"/>
        </w:rPr>
        <w:t>-</w:t>
      </w:r>
      <w:r w:rsidR="00A07417" w:rsidRPr="00BB3509">
        <w:rPr>
          <w:sz w:val="22"/>
        </w:rPr>
        <w:t>1</w:t>
      </w:r>
      <w:r w:rsidRPr="00BB3509">
        <w:rPr>
          <w:sz w:val="22"/>
        </w:rPr>
        <w:t xml:space="preserve"> shows the BS to BS coupling loss between two networks</w:t>
      </w:r>
      <w:r w:rsidR="3A5A5FD1" w:rsidRPr="00BB3509">
        <w:rPr>
          <w:sz w:val="22"/>
        </w:rPr>
        <w:t xml:space="preserve"> considering both the array gain at the aggressor transmitter and the victim receiver. </w:t>
      </w:r>
      <w:r w:rsidR="00A07417" w:rsidRPr="00BB3509">
        <w:rPr>
          <w:sz w:val="22"/>
          <w:lang w:val="en-IN" w:eastAsia="ja-JP"/>
        </w:rPr>
        <w:t xml:space="preserve">The result doesn’t include the polarization gain. </w:t>
      </w:r>
    </w:p>
    <w:p w14:paraId="6F91860E" w14:textId="71EAB573" w:rsidR="68500983" w:rsidRDefault="68500983" w:rsidP="68500983"/>
    <w:p w14:paraId="5E5343C2" w14:textId="4C73666C" w:rsidR="1FAED657" w:rsidRDefault="1FAED657" w:rsidP="00BB3509">
      <w:pPr>
        <w:jc w:val="center"/>
      </w:pPr>
      <w:r>
        <w:rPr>
          <w:noProof/>
        </w:rPr>
        <w:drawing>
          <wp:inline distT="0" distB="0" distL="0" distR="0" wp14:anchorId="35B955F3" wp14:editId="3898EBBE">
            <wp:extent cx="5362575" cy="4260305"/>
            <wp:effectExtent l="0" t="0" r="0" b="0"/>
            <wp:docPr id="122188461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1884617" name=""/>
                    <pic:cNvPicPr/>
                  </pic:nvPicPr>
                  <pic:blipFill>
                    <a:blip r:embed="rId14">
                      <a:extLst>
                        <a:ext uri="{28A0092B-C50C-407E-A947-70E740481C1C}">
                          <a14:useLocalDpi xmlns:a14="http://schemas.microsoft.com/office/drawing/2010/main"/>
                        </a:ext>
                      </a:extLst>
                    </a:blip>
                    <a:stretch>
                      <a:fillRect/>
                    </a:stretch>
                  </pic:blipFill>
                  <pic:spPr>
                    <a:xfrm>
                      <a:off x="0" y="0"/>
                      <a:ext cx="5362575" cy="4260305"/>
                    </a:xfrm>
                    <a:prstGeom prst="rect">
                      <a:avLst/>
                    </a:prstGeom>
                  </pic:spPr>
                </pic:pic>
              </a:graphicData>
            </a:graphic>
          </wp:inline>
        </w:drawing>
      </w:r>
    </w:p>
    <w:p w14:paraId="1C0C030C" w14:textId="3ABC171C" w:rsidR="19FFEE4F" w:rsidRPr="00BB3509" w:rsidRDefault="19FFEE4F" w:rsidP="68500983">
      <w:pPr>
        <w:jc w:val="center"/>
        <w:rPr>
          <w:b/>
          <w:bCs/>
          <w:sz w:val="22"/>
        </w:rPr>
      </w:pPr>
      <w:r w:rsidRPr="00BB3509">
        <w:rPr>
          <w:b/>
          <w:bCs/>
          <w:sz w:val="22"/>
        </w:rPr>
        <w:t>Figure 2.1.2</w:t>
      </w:r>
      <w:r w:rsidR="00A07417">
        <w:rPr>
          <w:b/>
          <w:bCs/>
          <w:sz w:val="22"/>
        </w:rPr>
        <w:t>.4</w:t>
      </w:r>
      <w:r w:rsidRPr="00BB3509">
        <w:rPr>
          <w:b/>
          <w:bCs/>
          <w:sz w:val="22"/>
        </w:rPr>
        <w:t>-</w:t>
      </w:r>
      <w:r w:rsidR="00A07417">
        <w:rPr>
          <w:b/>
          <w:bCs/>
          <w:sz w:val="22"/>
        </w:rPr>
        <w:t>1</w:t>
      </w:r>
      <w:r w:rsidRPr="00BB3509">
        <w:rPr>
          <w:b/>
          <w:bCs/>
          <w:sz w:val="22"/>
        </w:rPr>
        <w:t xml:space="preserve"> BS to BS Path Loss with aggressor transmitter and victim receiver array gain.</w:t>
      </w:r>
    </w:p>
    <w:p w14:paraId="3A37767C" w14:textId="49D4C2BA" w:rsidR="68500983" w:rsidRDefault="68500983" w:rsidP="68500983"/>
    <w:p w14:paraId="4136BAD4" w14:textId="50FAD844" w:rsidR="0048614B" w:rsidRDefault="0048614B">
      <w:pPr>
        <w:rPr>
          <w:lang w:val="en-GB" w:eastAsia="ja-JP"/>
        </w:rPr>
      </w:pPr>
    </w:p>
    <w:p w14:paraId="24D72022" w14:textId="77777777" w:rsidR="0048614B" w:rsidRPr="00463F25" w:rsidRDefault="0048614B" w:rsidP="00BB3509"/>
    <w:p w14:paraId="2F987370" w14:textId="64DF796B" w:rsidR="00583BDA" w:rsidRDefault="00583BDA" w:rsidP="00583BDA">
      <w:pPr>
        <w:pStyle w:val="Heading2"/>
      </w:pPr>
      <w:r>
        <w:t>2.2</w:t>
      </w:r>
      <w:r>
        <w:tab/>
      </w:r>
      <w:r w:rsidR="00987502">
        <w:t xml:space="preserve">BS-to-UE </w:t>
      </w:r>
      <w:r w:rsidR="0030544C">
        <w:t>Dense Urban</w:t>
      </w:r>
      <w:r w:rsidR="00987502">
        <w:t xml:space="preserve"> case</w:t>
      </w:r>
    </w:p>
    <w:p w14:paraId="2FC0C4B0" w14:textId="5636BABC" w:rsidR="00987502" w:rsidRDefault="00987502" w:rsidP="00987502">
      <w:pPr>
        <w:pStyle w:val="Heading3"/>
      </w:pPr>
      <w:r>
        <w:t>2.2.1</w:t>
      </w:r>
      <w:r>
        <w:tab/>
        <w:t>Calibration Assumptions</w:t>
      </w:r>
    </w:p>
    <w:p w14:paraId="571F2D21" w14:textId="39B5DDB2" w:rsidR="00EA3F1B" w:rsidRPr="003B7844" w:rsidRDefault="00EA3F1B" w:rsidP="00EA3F1B">
      <w:pPr>
        <w:rPr>
          <w:rFonts w:cs="Arial"/>
          <w:sz w:val="22"/>
          <w:lang w:val="en-GB" w:eastAsia="ja-JP"/>
        </w:rPr>
      </w:pPr>
      <w:r>
        <w:rPr>
          <w:rFonts w:cs="Arial"/>
          <w:sz w:val="22"/>
          <w:lang w:val="en-GB" w:eastAsia="ja-JP"/>
        </w:rPr>
        <w:t xml:space="preserve">The assumptions are with 80% Indoor UEs, wrap around on and the results are cross-network i.e. Aggressor BS of Network 1 to Victim </w:t>
      </w:r>
      <w:r w:rsidR="004C58AF">
        <w:rPr>
          <w:rFonts w:cs="Arial"/>
          <w:sz w:val="22"/>
          <w:lang w:val="en-GB" w:eastAsia="ja-JP"/>
        </w:rPr>
        <w:t>UE</w:t>
      </w:r>
      <w:r>
        <w:rPr>
          <w:rFonts w:cs="Arial"/>
          <w:sz w:val="22"/>
          <w:lang w:val="en-GB" w:eastAsia="ja-JP"/>
        </w:rPr>
        <w:t xml:space="preserve"> of Network 2. Other assumptions are highlighted below -</w:t>
      </w:r>
    </w:p>
    <w:p w14:paraId="5140F8D4" w14:textId="73491E60" w:rsidR="003B7844" w:rsidRPr="003B7844" w:rsidRDefault="003B7844" w:rsidP="003B7844">
      <w:pPr>
        <w:rPr>
          <w:rFonts w:cs="Arial"/>
          <w:sz w:val="22"/>
          <w:lang w:val="en-GB" w:eastAsia="ja-JP"/>
        </w:rPr>
      </w:pPr>
      <w:r w:rsidRPr="003B7844">
        <w:rPr>
          <w:rFonts w:cs="Arial"/>
          <w:sz w:val="22"/>
          <w:lang w:val="en-GB" w:eastAsia="ja-JP"/>
        </w:rPr>
        <w:t>are as follows –</w:t>
      </w:r>
    </w:p>
    <w:p w14:paraId="4496AAF1" w14:textId="77777777" w:rsidR="003B7844" w:rsidRPr="003B7844" w:rsidRDefault="003B7844" w:rsidP="003B7844">
      <w:pPr>
        <w:pStyle w:val="ListParagraph"/>
        <w:numPr>
          <w:ilvl w:val="0"/>
          <w:numId w:val="31"/>
        </w:numPr>
        <w:rPr>
          <w:rFonts w:ascii="Arial" w:hAnsi="Arial" w:cs="Arial"/>
          <w:lang w:val="en-GB" w:eastAsia="ja-JP"/>
        </w:rPr>
      </w:pPr>
      <w:r w:rsidRPr="003B7844">
        <w:rPr>
          <w:rFonts w:ascii="Arial" w:hAnsi="Arial" w:cs="Arial"/>
          <w:lang w:val="en-GB" w:eastAsia="ja-JP"/>
        </w:rPr>
        <w:t>Aggressor</w:t>
      </w:r>
    </w:p>
    <w:p w14:paraId="6328B5CB" w14:textId="00F4F17E" w:rsidR="003B7844" w:rsidRPr="003B7844" w:rsidRDefault="003B7844" w:rsidP="003B7844">
      <w:pPr>
        <w:pStyle w:val="ListParagraph"/>
        <w:numPr>
          <w:ilvl w:val="1"/>
          <w:numId w:val="31"/>
        </w:numPr>
        <w:rPr>
          <w:rFonts w:ascii="Arial" w:hAnsi="Arial" w:cs="Arial"/>
          <w:lang w:val="en-GB" w:eastAsia="ja-JP"/>
        </w:rPr>
      </w:pPr>
      <w:r w:rsidRPr="003B7844">
        <w:rPr>
          <w:rFonts w:ascii="Arial" w:hAnsi="Arial" w:cs="Arial"/>
          <w:lang w:val="en-GB" w:eastAsia="ja-JP"/>
        </w:rPr>
        <w:t>Transmitting frequency – 2 GHz</w:t>
      </w:r>
    </w:p>
    <w:p w14:paraId="2BD30936" w14:textId="77777777" w:rsidR="003B7844" w:rsidRPr="003B7844" w:rsidRDefault="003B7844" w:rsidP="003B7844">
      <w:pPr>
        <w:pStyle w:val="ListParagraph"/>
        <w:numPr>
          <w:ilvl w:val="1"/>
          <w:numId w:val="31"/>
        </w:numPr>
        <w:rPr>
          <w:rFonts w:ascii="Arial" w:hAnsi="Arial" w:cs="Arial"/>
          <w:lang w:val="en-GB" w:eastAsia="ja-JP"/>
        </w:rPr>
      </w:pPr>
      <w:r w:rsidRPr="003B7844">
        <w:rPr>
          <w:rFonts w:ascii="Arial" w:hAnsi="Arial" w:cs="Arial"/>
          <w:lang w:val="en-GB" w:eastAsia="ja-JP"/>
        </w:rPr>
        <w:t>Antenna model – AAS with 4x8 array and 3x1 subarray antenna configuration</w:t>
      </w:r>
    </w:p>
    <w:p w14:paraId="5A1515A3" w14:textId="6FAF1776" w:rsidR="003B7844" w:rsidRPr="003B7844" w:rsidRDefault="003B7844" w:rsidP="003B7844">
      <w:pPr>
        <w:pStyle w:val="ListParagraph"/>
        <w:numPr>
          <w:ilvl w:val="1"/>
          <w:numId w:val="31"/>
        </w:numPr>
        <w:rPr>
          <w:rFonts w:ascii="Arial" w:hAnsi="Arial" w:cs="Arial"/>
          <w:lang w:val="en-GB" w:eastAsia="ja-JP"/>
        </w:rPr>
      </w:pPr>
      <w:r w:rsidRPr="003B7844">
        <w:rPr>
          <w:rFonts w:ascii="Arial" w:hAnsi="Arial" w:cs="Arial"/>
          <w:lang w:val="en-GB" w:eastAsia="ja-JP"/>
        </w:rPr>
        <w:t xml:space="preserve">Gain at Tx – </w:t>
      </w:r>
      <w:r w:rsidR="00AB1795">
        <w:rPr>
          <w:rFonts w:ascii="Arial" w:hAnsi="Arial" w:cs="Arial"/>
          <w:lang w:val="en-GB" w:eastAsia="ja-JP"/>
        </w:rPr>
        <w:t>full array gain</w:t>
      </w:r>
    </w:p>
    <w:p w14:paraId="75EBF0D1" w14:textId="77777777" w:rsidR="003B7844" w:rsidRPr="003B7844" w:rsidRDefault="003B7844" w:rsidP="003B7844">
      <w:pPr>
        <w:pStyle w:val="ListParagraph"/>
        <w:numPr>
          <w:ilvl w:val="1"/>
          <w:numId w:val="31"/>
        </w:numPr>
        <w:rPr>
          <w:rFonts w:ascii="Arial" w:hAnsi="Arial" w:cs="Arial"/>
          <w:lang w:val="en-GB" w:eastAsia="ja-JP"/>
        </w:rPr>
      </w:pPr>
      <w:r w:rsidRPr="003B7844">
        <w:rPr>
          <w:rFonts w:ascii="Arial" w:hAnsi="Arial" w:cs="Arial"/>
          <w:lang w:val="en-GB" w:eastAsia="ja-JP"/>
        </w:rPr>
        <w:t>Propagation model – TR 38.901</w:t>
      </w:r>
    </w:p>
    <w:p w14:paraId="778283A0" w14:textId="77777777" w:rsidR="003B7844" w:rsidRPr="003B7844" w:rsidRDefault="003B7844" w:rsidP="003B7844">
      <w:pPr>
        <w:pStyle w:val="ListParagraph"/>
        <w:numPr>
          <w:ilvl w:val="1"/>
          <w:numId w:val="31"/>
        </w:numPr>
        <w:rPr>
          <w:rFonts w:ascii="Arial" w:hAnsi="Arial" w:cs="Arial"/>
          <w:lang w:val="fr-FR" w:eastAsia="ja-JP"/>
        </w:rPr>
      </w:pPr>
      <w:r w:rsidRPr="003B7844">
        <w:rPr>
          <w:rFonts w:ascii="Arial" w:hAnsi="Arial" w:cs="Arial"/>
          <w:kern w:val="24"/>
          <w:lang w:val="fr-FR" w:eastAsia="ja-JP"/>
        </w:rPr>
        <w:t>Minimum BS - UE distance (2D) – 35 m</w:t>
      </w:r>
    </w:p>
    <w:p w14:paraId="65007B26" w14:textId="77777777" w:rsidR="003B7844" w:rsidRPr="003B7844" w:rsidRDefault="003B7844" w:rsidP="003B7844">
      <w:pPr>
        <w:pStyle w:val="ListParagraph"/>
        <w:numPr>
          <w:ilvl w:val="1"/>
          <w:numId w:val="31"/>
        </w:numPr>
        <w:rPr>
          <w:rFonts w:ascii="Arial" w:hAnsi="Arial" w:cs="Arial"/>
          <w:lang w:val="en-GB" w:eastAsia="ja-JP"/>
        </w:rPr>
      </w:pPr>
      <w:r w:rsidRPr="003B7844">
        <w:rPr>
          <w:rFonts w:ascii="Arial" w:hAnsi="Arial" w:cs="Arial"/>
          <w:lang w:val="en-GB" w:eastAsia="ja-JP"/>
        </w:rPr>
        <w:t>Antenna height – 25m</w:t>
      </w:r>
    </w:p>
    <w:p w14:paraId="5E813B8B" w14:textId="77777777" w:rsidR="003B7844" w:rsidRPr="003B7844" w:rsidRDefault="003B7844" w:rsidP="003B7844">
      <w:pPr>
        <w:pStyle w:val="ListParagraph"/>
        <w:numPr>
          <w:ilvl w:val="0"/>
          <w:numId w:val="31"/>
        </w:numPr>
        <w:rPr>
          <w:rFonts w:ascii="Arial" w:hAnsi="Arial" w:cs="Arial"/>
          <w:lang w:val="en-GB" w:eastAsia="ja-JP"/>
        </w:rPr>
      </w:pPr>
      <w:r w:rsidRPr="003B7844">
        <w:rPr>
          <w:rFonts w:ascii="Arial" w:hAnsi="Arial" w:cs="Arial"/>
          <w:lang w:val="en-GB" w:eastAsia="ja-JP"/>
        </w:rPr>
        <w:t>Victim</w:t>
      </w:r>
    </w:p>
    <w:p w14:paraId="1ED61C10" w14:textId="77777777" w:rsidR="003B7844" w:rsidRPr="003B7844" w:rsidRDefault="003B7844" w:rsidP="003B7844">
      <w:pPr>
        <w:pStyle w:val="ListParagraph"/>
        <w:numPr>
          <w:ilvl w:val="1"/>
          <w:numId w:val="31"/>
        </w:numPr>
        <w:rPr>
          <w:rFonts w:ascii="Arial" w:hAnsi="Arial" w:cs="Arial"/>
          <w:lang w:val="en-GB" w:eastAsia="ja-JP"/>
        </w:rPr>
      </w:pPr>
      <w:r w:rsidRPr="003B7844">
        <w:rPr>
          <w:rFonts w:ascii="Arial" w:hAnsi="Arial" w:cs="Arial"/>
          <w:lang w:val="en-GB" w:eastAsia="ja-JP"/>
        </w:rPr>
        <w:t>Transmitting frequency – 6.4 GHz</w:t>
      </w:r>
    </w:p>
    <w:p w14:paraId="16FF601E" w14:textId="77777777" w:rsidR="003B7844" w:rsidRPr="003B7844" w:rsidRDefault="003B7844" w:rsidP="003B7844">
      <w:pPr>
        <w:pStyle w:val="ListParagraph"/>
        <w:numPr>
          <w:ilvl w:val="1"/>
          <w:numId w:val="31"/>
        </w:numPr>
        <w:rPr>
          <w:rFonts w:ascii="Arial" w:hAnsi="Arial" w:cs="Arial"/>
          <w:lang w:val="en-GB" w:eastAsia="ja-JP"/>
        </w:rPr>
      </w:pPr>
      <w:r w:rsidRPr="003B7844">
        <w:rPr>
          <w:rFonts w:ascii="Arial" w:hAnsi="Arial" w:cs="Arial"/>
          <w:lang w:val="en-GB" w:eastAsia="ja-JP"/>
        </w:rPr>
        <w:t>Isotropic UE with 0 dBi gain and without beamforming</w:t>
      </w:r>
    </w:p>
    <w:p w14:paraId="43CE0274" w14:textId="04018A99" w:rsidR="003B7844" w:rsidRPr="003B7844" w:rsidRDefault="003B7844" w:rsidP="003B7844">
      <w:pPr>
        <w:pStyle w:val="ListParagraph"/>
        <w:numPr>
          <w:ilvl w:val="1"/>
          <w:numId w:val="31"/>
        </w:numPr>
        <w:rPr>
          <w:rFonts w:ascii="Arial" w:hAnsi="Arial" w:cs="Arial"/>
          <w:lang w:val="en-GB" w:eastAsia="ja-JP"/>
        </w:rPr>
      </w:pPr>
      <w:r w:rsidRPr="003B7844">
        <w:rPr>
          <w:rFonts w:ascii="Arial" w:hAnsi="Arial" w:cs="Arial"/>
          <w:lang w:val="en-GB" w:eastAsia="ja-JP"/>
        </w:rPr>
        <w:t>Propagation model – TR 38.901</w:t>
      </w:r>
    </w:p>
    <w:p w14:paraId="5C7BCE0D" w14:textId="77777777" w:rsidR="00A07417" w:rsidRDefault="00A07417" w:rsidP="00BB3509">
      <w:pPr>
        <w:pStyle w:val="CommentText"/>
      </w:pPr>
    </w:p>
    <w:p w14:paraId="1146585A" w14:textId="08C3D981" w:rsidR="00987502" w:rsidRDefault="00987502" w:rsidP="00F23B1A">
      <w:pPr>
        <w:pStyle w:val="Heading3"/>
      </w:pPr>
      <w:r>
        <w:t>2.2.2</w:t>
      </w:r>
      <w:r>
        <w:tab/>
        <w:t>Calibration Results</w:t>
      </w:r>
    </w:p>
    <w:p w14:paraId="32299AB3" w14:textId="0975100D" w:rsidR="007C0E5D" w:rsidRDefault="007C0E5D" w:rsidP="007C0E5D">
      <w:pPr>
        <w:pStyle w:val="Heading4"/>
      </w:pPr>
      <w:r>
        <w:t>2.</w:t>
      </w:r>
      <w:r w:rsidR="00DF7CB1">
        <w:t>2</w:t>
      </w:r>
      <w:r>
        <w:t>.2.1</w:t>
      </w:r>
      <w:r>
        <w:tab/>
        <w:t>Step 1 – Only Pathloss</w:t>
      </w:r>
    </w:p>
    <w:p w14:paraId="159F6F44" w14:textId="37D0361A" w:rsidR="69D6E1B5" w:rsidRPr="00BB3509" w:rsidRDefault="69D6E1B5" w:rsidP="00BB3509">
      <w:pPr>
        <w:rPr>
          <w:sz w:val="22"/>
        </w:rPr>
      </w:pPr>
      <w:r w:rsidRPr="00BB3509">
        <w:rPr>
          <w:sz w:val="22"/>
        </w:rPr>
        <w:t>Figure 2.2.2</w:t>
      </w:r>
      <w:r w:rsidR="00A07417" w:rsidRPr="00BB3509">
        <w:rPr>
          <w:sz w:val="22"/>
        </w:rPr>
        <w:t>.1</w:t>
      </w:r>
      <w:r w:rsidRPr="00BB3509">
        <w:rPr>
          <w:sz w:val="22"/>
        </w:rPr>
        <w:t>-1 shows the Path Loss</w:t>
      </w:r>
      <w:r w:rsidR="7BD5528A" w:rsidRPr="00BB3509">
        <w:rPr>
          <w:sz w:val="22"/>
        </w:rPr>
        <w:t xml:space="preserve"> between the aggressor transmitter BS and the victim receiver UE.</w:t>
      </w:r>
    </w:p>
    <w:p w14:paraId="54381691" w14:textId="020F5BDA" w:rsidR="7838AF2E" w:rsidRDefault="7838AF2E" w:rsidP="00BB3509">
      <w:pPr>
        <w:jc w:val="center"/>
      </w:pPr>
      <w:r>
        <w:rPr>
          <w:noProof/>
        </w:rPr>
        <w:lastRenderedPageBreak/>
        <w:drawing>
          <wp:inline distT="0" distB="0" distL="0" distR="0" wp14:anchorId="35ED455F" wp14:editId="02C2E46A">
            <wp:extent cx="6505575" cy="3570216"/>
            <wp:effectExtent l="0" t="0" r="0" b="0"/>
            <wp:docPr id="192149665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1496652" name=""/>
                    <pic:cNvPicPr/>
                  </pic:nvPicPr>
                  <pic:blipFill>
                    <a:blip r:embed="rId15">
                      <a:extLst>
                        <a:ext uri="{28A0092B-C50C-407E-A947-70E740481C1C}">
                          <a14:useLocalDpi xmlns:a14="http://schemas.microsoft.com/office/drawing/2010/main"/>
                        </a:ext>
                      </a:extLst>
                    </a:blip>
                    <a:stretch>
                      <a:fillRect/>
                    </a:stretch>
                  </pic:blipFill>
                  <pic:spPr>
                    <a:xfrm>
                      <a:off x="0" y="0"/>
                      <a:ext cx="6505575" cy="3570216"/>
                    </a:xfrm>
                    <a:prstGeom prst="rect">
                      <a:avLst/>
                    </a:prstGeom>
                  </pic:spPr>
                </pic:pic>
              </a:graphicData>
            </a:graphic>
          </wp:inline>
        </w:drawing>
      </w:r>
    </w:p>
    <w:p w14:paraId="22383AC1" w14:textId="373DBE91" w:rsidR="089A7679" w:rsidRPr="00BB3509" w:rsidRDefault="089A7679" w:rsidP="68500983">
      <w:pPr>
        <w:jc w:val="center"/>
        <w:rPr>
          <w:b/>
          <w:bCs/>
          <w:sz w:val="22"/>
        </w:rPr>
      </w:pPr>
      <w:r w:rsidRPr="00BB3509">
        <w:rPr>
          <w:b/>
          <w:bCs/>
          <w:sz w:val="22"/>
        </w:rPr>
        <w:t>Figure 2.2.2</w:t>
      </w:r>
      <w:r w:rsidR="00A07417" w:rsidRPr="00BB3509">
        <w:rPr>
          <w:b/>
          <w:bCs/>
          <w:sz w:val="22"/>
        </w:rPr>
        <w:t>.1</w:t>
      </w:r>
      <w:r w:rsidRPr="00BB3509">
        <w:rPr>
          <w:b/>
          <w:bCs/>
          <w:sz w:val="22"/>
        </w:rPr>
        <w:t xml:space="preserve">-1 BS to </w:t>
      </w:r>
      <w:r w:rsidR="71872CE5" w:rsidRPr="00BB3509">
        <w:rPr>
          <w:b/>
          <w:bCs/>
          <w:sz w:val="22"/>
        </w:rPr>
        <w:t xml:space="preserve">UE </w:t>
      </w:r>
      <w:r w:rsidRPr="00BB3509">
        <w:rPr>
          <w:b/>
          <w:bCs/>
          <w:sz w:val="22"/>
        </w:rPr>
        <w:t>Path Loss, between the two networks</w:t>
      </w:r>
    </w:p>
    <w:p w14:paraId="6B1BB672" w14:textId="5B245AC7" w:rsidR="68500983" w:rsidRDefault="68500983" w:rsidP="68500983"/>
    <w:p w14:paraId="0120961B" w14:textId="652BFB0D" w:rsidR="007C0E5D" w:rsidRDefault="007C0E5D" w:rsidP="007C0E5D">
      <w:pPr>
        <w:pStyle w:val="Heading4"/>
        <w:rPr>
          <w:lang w:val="en-US"/>
        </w:rPr>
      </w:pPr>
      <w:r w:rsidRPr="38A23BB8">
        <w:rPr>
          <w:lang w:val="en-US"/>
        </w:rPr>
        <w:t>2.</w:t>
      </w:r>
      <w:r w:rsidR="00DF7CB1" w:rsidRPr="38A23BB8">
        <w:rPr>
          <w:lang w:val="en-US"/>
        </w:rPr>
        <w:t>2</w:t>
      </w:r>
      <w:r w:rsidRPr="38A23BB8">
        <w:rPr>
          <w:lang w:val="en-US"/>
        </w:rPr>
        <w:t>.2.2</w:t>
      </w:r>
      <w:r>
        <w:tab/>
      </w:r>
      <w:r w:rsidRPr="38A23BB8">
        <w:rPr>
          <w:lang w:val="en-US"/>
        </w:rPr>
        <w:t>Step 2 – Pathloss + aggressor element gain at Tx</w:t>
      </w:r>
    </w:p>
    <w:p w14:paraId="48B52A1E" w14:textId="19BD540C" w:rsidR="00A22C62" w:rsidRPr="00BB3509" w:rsidRDefault="77653BC4" w:rsidP="68500983">
      <w:pPr>
        <w:rPr>
          <w:sz w:val="22"/>
          <w:lang w:val="en-IN" w:eastAsia="ja-JP"/>
        </w:rPr>
      </w:pPr>
      <w:r w:rsidRPr="00BB3509">
        <w:rPr>
          <w:sz w:val="22"/>
          <w:lang w:val="en-IN" w:eastAsia="ja-JP"/>
        </w:rPr>
        <w:t>Figure 2.2.2</w:t>
      </w:r>
      <w:r w:rsidR="0048614B" w:rsidRPr="00BB3509">
        <w:rPr>
          <w:sz w:val="22"/>
          <w:lang w:val="en-IN" w:eastAsia="ja-JP"/>
        </w:rPr>
        <w:t>.2</w:t>
      </w:r>
      <w:r w:rsidRPr="00BB3509">
        <w:rPr>
          <w:sz w:val="22"/>
          <w:lang w:val="en-IN" w:eastAsia="ja-JP"/>
        </w:rPr>
        <w:t>-</w:t>
      </w:r>
      <w:r w:rsidR="0048614B" w:rsidRPr="00BB3509">
        <w:rPr>
          <w:sz w:val="22"/>
          <w:lang w:val="en-IN" w:eastAsia="ja-JP"/>
        </w:rPr>
        <w:t>1</w:t>
      </w:r>
      <w:r w:rsidRPr="00BB3509">
        <w:rPr>
          <w:sz w:val="22"/>
          <w:lang w:val="en-IN" w:eastAsia="ja-JP"/>
        </w:rPr>
        <w:t xml:space="preserve"> shows the path loss plus the aggressor transmitter element gain. </w:t>
      </w:r>
      <w:r w:rsidR="0048614B">
        <w:rPr>
          <w:sz w:val="22"/>
          <w:lang w:val="en-IN" w:eastAsia="ja-JP"/>
        </w:rPr>
        <w:t xml:space="preserve">The result doesn’t include the polarization gain. </w:t>
      </w:r>
    </w:p>
    <w:p w14:paraId="2313219B" w14:textId="0F5C00E9" w:rsidR="00A22C62" w:rsidRPr="00A22C62" w:rsidRDefault="3B19C4B4" w:rsidP="00BB3509">
      <w:pPr>
        <w:jc w:val="center"/>
      </w:pPr>
      <w:r>
        <w:rPr>
          <w:noProof/>
        </w:rPr>
        <w:lastRenderedPageBreak/>
        <w:drawing>
          <wp:inline distT="0" distB="0" distL="0" distR="0" wp14:anchorId="4B9E32AB" wp14:editId="07864EE4">
            <wp:extent cx="5095875" cy="4174073"/>
            <wp:effectExtent l="0" t="0" r="0" b="0"/>
            <wp:docPr id="42180947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1809477" name=""/>
                    <pic:cNvPicPr/>
                  </pic:nvPicPr>
                  <pic:blipFill>
                    <a:blip r:embed="rId16">
                      <a:extLst>
                        <a:ext uri="{28A0092B-C50C-407E-A947-70E740481C1C}">
                          <a14:useLocalDpi xmlns:a14="http://schemas.microsoft.com/office/drawing/2010/main"/>
                        </a:ext>
                      </a:extLst>
                    </a:blip>
                    <a:stretch>
                      <a:fillRect/>
                    </a:stretch>
                  </pic:blipFill>
                  <pic:spPr>
                    <a:xfrm>
                      <a:off x="0" y="0"/>
                      <a:ext cx="5095875" cy="4174073"/>
                    </a:xfrm>
                    <a:prstGeom prst="rect">
                      <a:avLst/>
                    </a:prstGeom>
                  </pic:spPr>
                </pic:pic>
              </a:graphicData>
            </a:graphic>
          </wp:inline>
        </w:drawing>
      </w:r>
      <w:r w:rsidR="0560B7F4">
        <w:rPr>
          <w:noProof/>
        </w:rPr>
        <w:drawing>
          <wp:inline distT="0" distB="0" distL="0" distR="0" wp14:anchorId="4EA8DAED" wp14:editId="34CEF8FF">
            <wp:extent cx="11629" cy="9525"/>
            <wp:effectExtent l="0" t="0" r="0" b="0"/>
            <wp:docPr id="2089741850"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9741850" name=""/>
                    <pic:cNvPicPr/>
                  </pic:nvPicPr>
                  <pic:blipFill>
                    <a:blip r:embed="rId17">
                      <a:extLst>
                        <a:ext uri="{28A0092B-C50C-407E-A947-70E740481C1C}">
                          <a14:useLocalDpi xmlns:a14="http://schemas.microsoft.com/office/drawing/2010/main"/>
                        </a:ext>
                      </a:extLst>
                    </a:blip>
                    <a:stretch>
                      <a:fillRect/>
                    </a:stretch>
                  </pic:blipFill>
                  <pic:spPr>
                    <a:xfrm>
                      <a:off x="0" y="0"/>
                      <a:ext cx="11629" cy="9525"/>
                    </a:xfrm>
                    <a:prstGeom prst="rect">
                      <a:avLst/>
                    </a:prstGeom>
                  </pic:spPr>
                </pic:pic>
              </a:graphicData>
            </a:graphic>
          </wp:inline>
        </w:drawing>
      </w:r>
    </w:p>
    <w:p w14:paraId="210C6A36" w14:textId="6B5E78C1" w:rsidR="00A22C62" w:rsidRPr="00BB3509" w:rsidRDefault="6C88170B" w:rsidP="68500983">
      <w:pPr>
        <w:jc w:val="center"/>
        <w:rPr>
          <w:b/>
          <w:bCs/>
          <w:sz w:val="22"/>
        </w:rPr>
      </w:pPr>
      <w:r w:rsidRPr="00BB3509">
        <w:rPr>
          <w:b/>
          <w:bCs/>
          <w:sz w:val="22"/>
        </w:rPr>
        <w:t>Figure 2.2.2</w:t>
      </w:r>
      <w:r w:rsidR="0048614B">
        <w:rPr>
          <w:b/>
          <w:bCs/>
          <w:sz w:val="22"/>
        </w:rPr>
        <w:t>.2</w:t>
      </w:r>
      <w:r w:rsidRPr="00BB3509">
        <w:rPr>
          <w:b/>
          <w:bCs/>
          <w:sz w:val="22"/>
        </w:rPr>
        <w:t>-</w:t>
      </w:r>
      <w:r w:rsidR="0048614B">
        <w:rPr>
          <w:b/>
          <w:bCs/>
          <w:sz w:val="22"/>
        </w:rPr>
        <w:t>1</w:t>
      </w:r>
      <w:r w:rsidRPr="00BB3509">
        <w:rPr>
          <w:b/>
          <w:bCs/>
          <w:sz w:val="22"/>
        </w:rPr>
        <w:t xml:space="preserve"> BS to </w:t>
      </w:r>
      <w:r w:rsidR="7AC17928" w:rsidRPr="00BB3509">
        <w:rPr>
          <w:b/>
          <w:bCs/>
          <w:sz w:val="22"/>
        </w:rPr>
        <w:t xml:space="preserve">UE </w:t>
      </w:r>
      <w:r w:rsidRPr="00BB3509">
        <w:rPr>
          <w:b/>
          <w:bCs/>
          <w:sz w:val="22"/>
        </w:rPr>
        <w:t>Path Loss with antenna element gain, between the two networks</w:t>
      </w:r>
    </w:p>
    <w:p w14:paraId="316CEDF6" w14:textId="3BAC9B7E" w:rsidR="00A22C62" w:rsidRPr="00463F25" w:rsidRDefault="00A22C62" w:rsidP="68500983"/>
    <w:p w14:paraId="11680BE8" w14:textId="0CE01A61" w:rsidR="0048614B" w:rsidRPr="00AB2D48" w:rsidRDefault="007C0E5D" w:rsidP="00BB3509">
      <w:pPr>
        <w:pStyle w:val="Heading4"/>
        <w:rPr>
          <w:lang w:val="en-IN"/>
        </w:rPr>
      </w:pPr>
      <w:r>
        <w:t>2.</w:t>
      </w:r>
      <w:r w:rsidR="00DF7CB1">
        <w:t>2</w:t>
      </w:r>
      <w:r>
        <w:t>.2.3</w:t>
      </w:r>
      <w:r>
        <w:tab/>
        <w:t>Step 3 – Pathloss + aggressor array gain at Tx</w:t>
      </w:r>
    </w:p>
    <w:p w14:paraId="0A9BAFD0" w14:textId="7260C811" w:rsidR="00A22C62" w:rsidRPr="00BB3509" w:rsidRDefault="47B31CF8" w:rsidP="68500983">
      <w:pPr>
        <w:rPr>
          <w:sz w:val="22"/>
          <w:lang w:val="en-IN" w:eastAsia="ja-JP"/>
        </w:rPr>
      </w:pPr>
      <w:r w:rsidRPr="00BB3509">
        <w:rPr>
          <w:sz w:val="22"/>
          <w:lang w:val="en-IN" w:eastAsia="ja-JP"/>
        </w:rPr>
        <w:t>Figure 2.2.2</w:t>
      </w:r>
      <w:r w:rsidR="0048614B">
        <w:rPr>
          <w:sz w:val="22"/>
          <w:lang w:val="en-IN" w:eastAsia="ja-JP"/>
        </w:rPr>
        <w:t>.3</w:t>
      </w:r>
      <w:r w:rsidRPr="00BB3509">
        <w:rPr>
          <w:sz w:val="22"/>
          <w:lang w:val="en-IN" w:eastAsia="ja-JP"/>
        </w:rPr>
        <w:t>-</w:t>
      </w:r>
      <w:r w:rsidR="0048614B">
        <w:rPr>
          <w:sz w:val="22"/>
          <w:lang w:val="en-IN" w:eastAsia="ja-JP"/>
        </w:rPr>
        <w:t>1</w:t>
      </w:r>
      <w:r w:rsidRPr="00BB3509">
        <w:rPr>
          <w:sz w:val="22"/>
          <w:lang w:val="en-IN" w:eastAsia="ja-JP"/>
        </w:rPr>
        <w:t xml:space="preserve"> shows the </w:t>
      </w:r>
      <w:r w:rsidR="0B524BFC" w:rsidRPr="00BB3509">
        <w:rPr>
          <w:sz w:val="22"/>
          <w:lang w:val="en-IN" w:eastAsia="ja-JP"/>
        </w:rPr>
        <w:t>BS to UE Path Loss with array gain between the two networks, i.e. between the aggressor transmitter BS and the victim receiver UE.</w:t>
      </w:r>
      <w:r w:rsidR="6F5504FE" w:rsidRPr="00BB3509">
        <w:rPr>
          <w:sz w:val="22"/>
          <w:lang w:val="en-IN" w:eastAsia="ja-JP"/>
        </w:rPr>
        <w:t xml:space="preserve"> </w:t>
      </w:r>
      <w:r w:rsidR="0048614B">
        <w:rPr>
          <w:sz w:val="22"/>
          <w:lang w:val="en-IN" w:eastAsia="ja-JP"/>
        </w:rPr>
        <w:t xml:space="preserve">The result doesn’t include the polarization gain. </w:t>
      </w:r>
    </w:p>
    <w:p w14:paraId="0E70D83C" w14:textId="6757A1AA" w:rsidR="00A22C62" w:rsidRPr="00A22C62" w:rsidRDefault="47B31CF8" w:rsidP="00BB3509">
      <w:pPr>
        <w:jc w:val="center"/>
      </w:pPr>
      <w:r>
        <w:rPr>
          <w:noProof/>
        </w:rPr>
        <w:lastRenderedPageBreak/>
        <w:drawing>
          <wp:inline distT="0" distB="0" distL="0" distR="0" wp14:anchorId="4FA8E433" wp14:editId="71057DE8">
            <wp:extent cx="5520979" cy="4522280"/>
            <wp:effectExtent l="0" t="0" r="0" b="0"/>
            <wp:docPr id="97754484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7544847" name=""/>
                    <pic:cNvPicPr/>
                  </pic:nvPicPr>
                  <pic:blipFill>
                    <a:blip r:embed="rId18">
                      <a:extLst>
                        <a:ext uri="{28A0092B-C50C-407E-A947-70E740481C1C}">
                          <a14:useLocalDpi xmlns:a14="http://schemas.microsoft.com/office/drawing/2010/main"/>
                        </a:ext>
                      </a:extLst>
                    </a:blip>
                    <a:stretch>
                      <a:fillRect/>
                    </a:stretch>
                  </pic:blipFill>
                  <pic:spPr>
                    <a:xfrm>
                      <a:off x="0" y="0"/>
                      <a:ext cx="5520979" cy="4522280"/>
                    </a:xfrm>
                    <a:prstGeom prst="rect">
                      <a:avLst/>
                    </a:prstGeom>
                  </pic:spPr>
                </pic:pic>
              </a:graphicData>
            </a:graphic>
          </wp:inline>
        </w:drawing>
      </w:r>
    </w:p>
    <w:p w14:paraId="66B6C38C" w14:textId="3FAF5D51" w:rsidR="00A22C62" w:rsidRPr="00A22C62" w:rsidRDefault="47B31CF8" w:rsidP="68500983">
      <w:pPr>
        <w:jc w:val="center"/>
        <w:rPr>
          <w:b/>
          <w:bCs/>
        </w:rPr>
      </w:pPr>
      <w:r w:rsidRPr="68500983">
        <w:rPr>
          <w:b/>
          <w:bCs/>
        </w:rPr>
        <w:t>Figure 2.2.2</w:t>
      </w:r>
      <w:r w:rsidR="0048614B">
        <w:rPr>
          <w:b/>
          <w:bCs/>
        </w:rPr>
        <w:t>.3</w:t>
      </w:r>
      <w:r w:rsidRPr="68500983">
        <w:rPr>
          <w:b/>
          <w:bCs/>
        </w:rPr>
        <w:t>-</w:t>
      </w:r>
      <w:r w:rsidR="0048614B">
        <w:rPr>
          <w:b/>
          <w:bCs/>
        </w:rPr>
        <w:t>1</w:t>
      </w:r>
      <w:r w:rsidRPr="68500983">
        <w:rPr>
          <w:b/>
          <w:bCs/>
        </w:rPr>
        <w:t xml:space="preserve"> BS to </w:t>
      </w:r>
      <w:r w:rsidR="55258357" w:rsidRPr="68500983">
        <w:rPr>
          <w:b/>
          <w:bCs/>
        </w:rPr>
        <w:t xml:space="preserve">UE </w:t>
      </w:r>
      <w:r w:rsidRPr="68500983">
        <w:rPr>
          <w:b/>
          <w:bCs/>
        </w:rPr>
        <w:t>Path Loss with antenna element gain, between the two networks</w:t>
      </w:r>
    </w:p>
    <w:p w14:paraId="215308E6" w14:textId="59F783B6" w:rsidR="00A22C62" w:rsidRDefault="00A22C62" w:rsidP="68500983"/>
    <w:p w14:paraId="2FB711EF" w14:textId="7E2B6E62" w:rsidR="002E4712" w:rsidRDefault="002E4712" w:rsidP="68500983"/>
    <w:p w14:paraId="74FF754D" w14:textId="0552CFF1" w:rsidR="009F0707" w:rsidRPr="00FA0D71" w:rsidRDefault="00A62644" w:rsidP="68500983">
      <w:pPr>
        <w:rPr>
          <w:sz w:val="22"/>
        </w:rPr>
      </w:pPr>
      <w:r w:rsidRPr="00BB3509">
        <w:rPr>
          <w:sz w:val="22"/>
        </w:rPr>
        <w:t>It has been highlighted during</w:t>
      </w:r>
      <w:r w:rsidRPr="32844E4B">
        <w:rPr>
          <w:sz w:val="22"/>
        </w:rPr>
        <w:t xml:space="preserve"> </w:t>
      </w:r>
      <w:r w:rsidR="150EE9ED" w:rsidRPr="32844E4B">
        <w:rPr>
          <w:sz w:val="22"/>
        </w:rPr>
        <w:t>the</w:t>
      </w:r>
      <w:r w:rsidR="2411331E" w:rsidRPr="00BB3509">
        <w:rPr>
          <w:sz w:val="22"/>
        </w:rPr>
        <w:t xml:space="preserve"> </w:t>
      </w:r>
      <w:r w:rsidR="00BF03C4" w:rsidRPr="00BB3509">
        <w:rPr>
          <w:sz w:val="22"/>
        </w:rPr>
        <w:t xml:space="preserve">email discussions that </w:t>
      </w:r>
      <w:r w:rsidR="7A4CA176" w:rsidRPr="32844E4B">
        <w:rPr>
          <w:sz w:val="22"/>
        </w:rPr>
        <w:t xml:space="preserve">the </w:t>
      </w:r>
      <w:r w:rsidR="00BF03C4" w:rsidRPr="00BB3509">
        <w:rPr>
          <w:sz w:val="22"/>
        </w:rPr>
        <w:t xml:space="preserve">antenna gain should also account for the additional 3 dB polarization gain. </w:t>
      </w:r>
      <w:r w:rsidR="007411FE" w:rsidRPr="00BB3509">
        <w:rPr>
          <w:sz w:val="22"/>
        </w:rPr>
        <w:t xml:space="preserve">However, it is not clear </w:t>
      </w:r>
      <w:r w:rsidR="002F2779" w:rsidRPr="00FA0D71">
        <w:rPr>
          <w:sz w:val="22"/>
        </w:rPr>
        <w:t xml:space="preserve">the motivation behind </w:t>
      </w:r>
      <w:r w:rsidR="2A4C1010" w:rsidRPr="32844E4B">
        <w:rPr>
          <w:sz w:val="22"/>
        </w:rPr>
        <w:t>adding this additional gain in the context of this study</w:t>
      </w:r>
      <w:r w:rsidR="0C1835B4" w:rsidRPr="32844E4B">
        <w:rPr>
          <w:sz w:val="22"/>
        </w:rPr>
        <w:t>.</w:t>
      </w:r>
      <w:r w:rsidR="00CD3311" w:rsidRPr="00FA0D71">
        <w:rPr>
          <w:sz w:val="22"/>
        </w:rPr>
        <w:t xml:space="preserve"> In</w:t>
      </w:r>
      <w:r w:rsidR="008E565A" w:rsidRPr="00FA0D71">
        <w:rPr>
          <w:sz w:val="22"/>
        </w:rPr>
        <w:t xml:space="preserve"> previous studies</w:t>
      </w:r>
      <w:r w:rsidR="2276E957" w:rsidRPr="32844E4B">
        <w:rPr>
          <w:sz w:val="22"/>
        </w:rPr>
        <w:t>,</w:t>
      </w:r>
      <w:r w:rsidR="00A92D32">
        <w:rPr>
          <w:sz w:val="22"/>
        </w:rPr>
        <w:t xml:space="preserve"> </w:t>
      </w:r>
      <w:r w:rsidR="00A97BEF" w:rsidRPr="00FA0D71">
        <w:rPr>
          <w:sz w:val="22"/>
        </w:rPr>
        <w:t>like</w:t>
      </w:r>
      <w:r w:rsidR="3CEDE332" w:rsidRPr="32844E4B">
        <w:rPr>
          <w:sz w:val="22"/>
        </w:rPr>
        <w:t xml:space="preserve"> </w:t>
      </w:r>
      <w:r w:rsidR="50429B9C" w:rsidRPr="32844E4B">
        <w:rPr>
          <w:sz w:val="22"/>
        </w:rPr>
        <w:t>e.g.</w:t>
      </w:r>
      <w:r w:rsidR="008E565A" w:rsidRPr="00FA0D71">
        <w:rPr>
          <w:sz w:val="22"/>
        </w:rPr>
        <w:t xml:space="preserve"> TR 38.803</w:t>
      </w:r>
      <w:r w:rsidR="00CD3311" w:rsidRPr="00FA0D71">
        <w:rPr>
          <w:sz w:val="22"/>
        </w:rPr>
        <w:t>,</w:t>
      </w:r>
      <w:r w:rsidR="008E565A" w:rsidRPr="00FA0D71">
        <w:rPr>
          <w:sz w:val="22"/>
        </w:rPr>
        <w:t xml:space="preserve"> there is a Note to add </w:t>
      </w:r>
      <w:r w:rsidR="001D695A" w:rsidRPr="00FA0D71">
        <w:rPr>
          <w:sz w:val="22"/>
        </w:rPr>
        <w:t xml:space="preserve">an additional </w:t>
      </w:r>
      <w:r w:rsidR="00EC13E7" w:rsidRPr="00FA0D71">
        <w:rPr>
          <w:sz w:val="22"/>
        </w:rPr>
        <w:t>3 dB polarization gain to the BF gain</w:t>
      </w:r>
      <w:r w:rsidR="27E03D22" w:rsidRPr="32844E4B">
        <w:rPr>
          <w:sz w:val="22"/>
        </w:rPr>
        <w:t xml:space="preserve">. </w:t>
      </w:r>
      <w:r w:rsidR="00A92D32">
        <w:rPr>
          <w:sz w:val="22"/>
        </w:rPr>
        <w:t>However,</w:t>
      </w:r>
      <w:r w:rsidR="3FD50754" w:rsidRPr="32844E4B">
        <w:rPr>
          <w:sz w:val="22"/>
        </w:rPr>
        <w:t xml:space="preserve"> t</w:t>
      </w:r>
      <w:r w:rsidR="25009B26" w:rsidRPr="32844E4B">
        <w:rPr>
          <w:sz w:val="22"/>
        </w:rPr>
        <w:t xml:space="preserve">he </w:t>
      </w:r>
      <w:r w:rsidR="62EC7839" w:rsidRPr="32844E4B">
        <w:rPr>
          <w:sz w:val="22"/>
        </w:rPr>
        <w:t>context of th</w:t>
      </w:r>
      <w:r w:rsidR="4F4D78EC" w:rsidRPr="32844E4B">
        <w:rPr>
          <w:sz w:val="22"/>
        </w:rPr>
        <w:t>is</w:t>
      </w:r>
      <w:r w:rsidR="001F7E1F" w:rsidRPr="00FA0D71">
        <w:rPr>
          <w:sz w:val="22"/>
        </w:rPr>
        <w:t xml:space="preserve"> assumption </w:t>
      </w:r>
      <w:r w:rsidR="3F81CF11" w:rsidRPr="32844E4B">
        <w:rPr>
          <w:sz w:val="22"/>
        </w:rPr>
        <w:t xml:space="preserve">refers </w:t>
      </w:r>
      <w:r w:rsidR="6D6428DA" w:rsidRPr="32844E4B">
        <w:rPr>
          <w:sz w:val="22"/>
        </w:rPr>
        <w:t xml:space="preserve">to </w:t>
      </w:r>
      <w:r w:rsidR="001F7E1F" w:rsidRPr="00FA0D71">
        <w:rPr>
          <w:sz w:val="22"/>
        </w:rPr>
        <w:t xml:space="preserve">the </w:t>
      </w:r>
      <w:r w:rsidR="00811852" w:rsidRPr="00FA0D71">
        <w:rPr>
          <w:sz w:val="22"/>
        </w:rPr>
        <w:t xml:space="preserve">serving link and </w:t>
      </w:r>
      <w:r w:rsidR="3D71B64D" w:rsidRPr="32844E4B">
        <w:rPr>
          <w:sz w:val="22"/>
        </w:rPr>
        <w:t xml:space="preserve">is not clear if this assumption would make sense for </w:t>
      </w:r>
      <w:r w:rsidR="00811852" w:rsidRPr="00FA0D71">
        <w:rPr>
          <w:sz w:val="22"/>
        </w:rPr>
        <w:t>the interfering link</w:t>
      </w:r>
      <w:r w:rsidR="7D028EAD" w:rsidRPr="32844E4B">
        <w:rPr>
          <w:sz w:val="22"/>
        </w:rPr>
        <w:t xml:space="preserve">, out of band, </w:t>
      </w:r>
      <w:r w:rsidR="005D72DB" w:rsidRPr="32844E4B">
        <w:rPr>
          <w:sz w:val="22"/>
        </w:rPr>
        <w:t>as</w:t>
      </w:r>
      <w:r w:rsidR="7D028EAD" w:rsidRPr="32844E4B">
        <w:rPr>
          <w:sz w:val="22"/>
        </w:rPr>
        <w:t xml:space="preserve"> is the case in this study</w:t>
      </w:r>
      <w:r w:rsidR="201E5E7D" w:rsidRPr="32844E4B">
        <w:rPr>
          <w:sz w:val="22"/>
        </w:rPr>
        <w:t xml:space="preserve">. </w:t>
      </w:r>
      <w:r w:rsidR="008D1C25" w:rsidRPr="32844E4B">
        <w:rPr>
          <w:sz w:val="22"/>
        </w:rPr>
        <w:t>Specifically, i</w:t>
      </w:r>
      <w:r w:rsidR="002634DD" w:rsidRPr="00FA0D71">
        <w:rPr>
          <w:sz w:val="22"/>
        </w:rPr>
        <w:t xml:space="preserve">n the current study, we look </w:t>
      </w:r>
      <w:r w:rsidR="027BB699" w:rsidRPr="32844E4B">
        <w:rPr>
          <w:sz w:val="22"/>
        </w:rPr>
        <w:t xml:space="preserve">at </w:t>
      </w:r>
      <w:r w:rsidR="002634DD" w:rsidRPr="00FA0D71">
        <w:rPr>
          <w:sz w:val="22"/>
        </w:rPr>
        <w:t xml:space="preserve">cross </w:t>
      </w:r>
      <w:r w:rsidR="3F20B940" w:rsidRPr="32844E4B">
        <w:rPr>
          <w:sz w:val="22"/>
        </w:rPr>
        <w:t>network</w:t>
      </w:r>
      <w:r w:rsidR="6F02555E" w:rsidRPr="32844E4B">
        <w:rPr>
          <w:sz w:val="22"/>
        </w:rPr>
        <w:t xml:space="preserve"> coupling</w:t>
      </w:r>
      <w:r w:rsidR="002634DD" w:rsidRPr="00FA0D71">
        <w:rPr>
          <w:sz w:val="22"/>
        </w:rPr>
        <w:t xml:space="preserve"> </w:t>
      </w:r>
      <w:r w:rsidR="008363AC" w:rsidRPr="00FA0D71">
        <w:rPr>
          <w:sz w:val="22"/>
        </w:rPr>
        <w:t>from the aggressor BS to the vi</w:t>
      </w:r>
      <w:r w:rsidR="005D5508" w:rsidRPr="00FA0D71">
        <w:rPr>
          <w:sz w:val="22"/>
        </w:rPr>
        <w:t xml:space="preserve">ctim BS/ UE </w:t>
      </w:r>
      <w:r w:rsidR="00770BCA" w:rsidRPr="00FA0D71">
        <w:rPr>
          <w:sz w:val="22"/>
        </w:rPr>
        <w:t xml:space="preserve">with the boresight towards </w:t>
      </w:r>
      <w:r w:rsidR="003B79C9" w:rsidRPr="00FA0D71">
        <w:rPr>
          <w:sz w:val="22"/>
        </w:rPr>
        <w:t>the serving UE</w:t>
      </w:r>
      <w:r w:rsidR="084918F4" w:rsidRPr="32844E4B">
        <w:rPr>
          <w:sz w:val="22"/>
        </w:rPr>
        <w:t>, from one band to another</w:t>
      </w:r>
      <w:r w:rsidR="18AF6D71" w:rsidRPr="32844E4B">
        <w:rPr>
          <w:sz w:val="22"/>
        </w:rPr>
        <w:t>.</w:t>
      </w:r>
      <w:r w:rsidR="003B79C9" w:rsidRPr="00FA0D71">
        <w:rPr>
          <w:sz w:val="22"/>
        </w:rPr>
        <w:t xml:space="preserve"> </w:t>
      </w:r>
      <w:r w:rsidR="00653689" w:rsidRPr="00FA0D71">
        <w:rPr>
          <w:sz w:val="22"/>
        </w:rPr>
        <w:t xml:space="preserve">In this view, </w:t>
      </w:r>
      <w:r w:rsidR="009D3ED2" w:rsidRPr="00FA0D71">
        <w:rPr>
          <w:sz w:val="22"/>
        </w:rPr>
        <w:t>off-boresight, the gain should come only from the actual radiation pattern of the two polarizations</w:t>
      </w:r>
      <w:r w:rsidR="00E17872" w:rsidRPr="00FA0D71">
        <w:rPr>
          <w:sz w:val="22"/>
        </w:rPr>
        <w:t xml:space="preserve"> and not through </w:t>
      </w:r>
      <w:r w:rsidR="00AE0CA4" w:rsidRPr="00FA0D71">
        <w:rPr>
          <w:sz w:val="22"/>
        </w:rPr>
        <w:t>the artificial 3 dB additional gain.</w:t>
      </w:r>
      <w:r w:rsidR="00EC5031">
        <w:br/>
      </w:r>
      <w:r w:rsidR="03E402E8" w:rsidRPr="32844E4B">
        <w:rPr>
          <w:sz w:val="22"/>
        </w:rPr>
        <w:t xml:space="preserve">The need </w:t>
      </w:r>
      <w:r w:rsidR="00A92D32" w:rsidRPr="32844E4B">
        <w:rPr>
          <w:sz w:val="22"/>
        </w:rPr>
        <w:t>for</w:t>
      </w:r>
      <w:r w:rsidR="03E402E8" w:rsidRPr="32844E4B">
        <w:rPr>
          <w:sz w:val="22"/>
        </w:rPr>
        <w:t xml:space="preserve"> this polarization gain should be clarified in the discussions during the meeting</w:t>
      </w:r>
      <w:r w:rsidR="161F4B9A" w:rsidRPr="32844E4B">
        <w:rPr>
          <w:sz w:val="22"/>
        </w:rPr>
        <w:t xml:space="preserve">. </w:t>
      </w:r>
      <w:r w:rsidR="005D72DB" w:rsidRPr="32844E4B">
        <w:rPr>
          <w:sz w:val="22"/>
        </w:rPr>
        <w:t>Also,</w:t>
      </w:r>
      <w:r w:rsidR="161F4B9A" w:rsidRPr="32844E4B">
        <w:rPr>
          <w:sz w:val="22"/>
        </w:rPr>
        <w:t xml:space="preserve"> it would be import</w:t>
      </w:r>
      <w:r w:rsidR="1A17106F" w:rsidRPr="32844E4B">
        <w:rPr>
          <w:sz w:val="22"/>
        </w:rPr>
        <w:t xml:space="preserve">ant to clarify </w:t>
      </w:r>
      <w:r w:rsidR="37068A35" w:rsidRPr="32844E4B">
        <w:rPr>
          <w:sz w:val="22"/>
        </w:rPr>
        <w:t xml:space="preserve">if </w:t>
      </w:r>
      <w:r w:rsidR="68F67D9E" w:rsidRPr="32844E4B">
        <w:rPr>
          <w:sz w:val="22"/>
        </w:rPr>
        <w:t xml:space="preserve">the dual polarization </w:t>
      </w:r>
      <w:r w:rsidR="00A97BEF">
        <w:rPr>
          <w:sz w:val="22"/>
        </w:rPr>
        <w:t>is</w:t>
      </w:r>
      <w:r w:rsidR="1A17106F" w:rsidRPr="32844E4B">
        <w:rPr>
          <w:sz w:val="22"/>
        </w:rPr>
        <w:t xml:space="preserve"> </w:t>
      </w:r>
      <w:r w:rsidR="27B0A24C" w:rsidRPr="32844E4B">
        <w:rPr>
          <w:sz w:val="22"/>
        </w:rPr>
        <w:t>m</w:t>
      </w:r>
      <w:r w:rsidR="2A03A359" w:rsidRPr="32844E4B">
        <w:rPr>
          <w:sz w:val="22"/>
        </w:rPr>
        <w:t>odel</w:t>
      </w:r>
      <w:r w:rsidR="3D76E821" w:rsidRPr="32844E4B">
        <w:rPr>
          <w:sz w:val="22"/>
        </w:rPr>
        <w:t xml:space="preserve">led by </w:t>
      </w:r>
      <w:r w:rsidR="1305E788" w:rsidRPr="32844E4B">
        <w:rPr>
          <w:sz w:val="22"/>
        </w:rPr>
        <w:t xml:space="preserve">adding </w:t>
      </w:r>
      <w:r w:rsidR="3D76E821" w:rsidRPr="32844E4B">
        <w:rPr>
          <w:sz w:val="22"/>
        </w:rPr>
        <w:t>3 dB to</w:t>
      </w:r>
      <w:r w:rsidR="00F94EB4" w:rsidRPr="00FA0D71">
        <w:rPr>
          <w:sz w:val="22"/>
        </w:rPr>
        <w:t xml:space="preserve"> </w:t>
      </w:r>
      <w:r w:rsidR="00CF7FFE" w:rsidRPr="00FA0D71">
        <w:rPr>
          <w:sz w:val="22"/>
        </w:rPr>
        <w:t>th</w:t>
      </w:r>
      <w:r w:rsidR="00B359A4" w:rsidRPr="00FA0D71">
        <w:rPr>
          <w:sz w:val="22"/>
        </w:rPr>
        <w:t>e antenna element</w:t>
      </w:r>
      <w:r w:rsidR="4B84BE4A" w:rsidRPr="32844E4B">
        <w:rPr>
          <w:sz w:val="22"/>
        </w:rPr>
        <w:t>,</w:t>
      </w:r>
      <w:r w:rsidR="1F7F0A11" w:rsidRPr="32844E4B">
        <w:rPr>
          <w:sz w:val="22"/>
        </w:rPr>
        <w:t xml:space="preserve"> </w:t>
      </w:r>
      <w:r w:rsidR="34B99E77" w:rsidRPr="32844E4B">
        <w:rPr>
          <w:sz w:val="22"/>
        </w:rPr>
        <w:t>so that the impact</w:t>
      </w:r>
      <w:r w:rsidR="7BB0CB98" w:rsidRPr="32844E4B">
        <w:rPr>
          <w:sz w:val="22"/>
        </w:rPr>
        <w:t xml:space="preserve"> </w:t>
      </w:r>
      <w:r w:rsidR="16BD7490" w:rsidRPr="32844E4B">
        <w:rPr>
          <w:sz w:val="22"/>
        </w:rPr>
        <w:t>would be</w:t>
      </w:r>
      <w:r w:rsidR="00923315" w:rsidRPr="00FA0D71">
        <w:rPr>
          <w:sz w:val="22"/>
        </w:rPr>
        <w:t xml:space="preserve"> baked into every direction of the radiation pattern. </w:t>
      </w:r>
      <w:r w:rsidR="00096793" w:rsidRPr="00FA0D71">
        <w:rPr>
          <w:sz w:val="22"/>
        </w:rPr>
        <w:t xml:space="preserve">This way </w:t>
      </w:r>
      <w:r w:rsidR="00BB3509">
        <w:rPr>
          <w:sz w:val="22"/>
        </w:rPr>
        <w:t xml:space="preserve">both </w:t>
      </w:r>
      <w:r w:rsidR="00096793" w:rsidRPr="00FA0D71">
        <w:rPr>
          <w:sz w:val="22"/>
        </w:rPr>
        <w:t xml:space="preserve">the </w:t>
      </w:r>
      <w:r w:rsidR="00D07C89" w:rsidRPr="00FA0D71">
        <w:rPr>
          <w:sz w:val="22"/>
        </w:rPr>
        <w:t xml:space="preserve">boresight and sidelobes </w:t>
      </w:r>
      <w:r w:rsidR="003431B1" w:rsidRPr="00FA0D71">
        <w:rPr>
          <w:sz w:val="22"/>
        </w:rPr>
        <w:t>(towards the victim BS/ UE) will also inherit the 3 dB gain.</w:t>
      </w:r>
    </w:p>
    <w:p w14:paraId="12921A04" w14:textId="2CC2D4E7" w:rsidR="009F0707" w:rsidRPr="00BB3509" w:rsidRDefault="00A55912" w:rsidP="00BB3509">
      <w:pPr>
        <w:pStyle w:val="Proposal"/>
        <w:rPr>
          <w:sz w:val="22"/>
        </w:rPr>
      </w:pPr>
      <w:bookmarkStart w:id="1" w:name="_Toc210423387"/>
      <w:r w:rsidRPr="00BB3509">
        <w:rPr>
          <w:sz w:val="22"/>
        </w:rPr>
        <w:t>Further clarification is needed on the assumption of the additional 3 dB polarization gain</w:t>
      </w:r>
      <w:r w:rsidR="66692A72" w:rsidRPr="32844E4B">
        <w:rPr>
          <w:sz w:val="22"/>
        </w:rPr>
        <w:t>,</w:t>
      </w:r>
      <w:r w:rsidR="00FA0D71" w:rsidRPr="00BB3509">
        <w:rPr>
          <w:sz w:val="22"/>
        </w:rPr>
        <w:t xml:space="preserve"> which </w:t>
      </w:r>
      <w:r w:rsidR="0339415A" w:rsidRPr="32844E4B">
        <w:rPr>
          <w:sz w:val="22"/>
        </w:rPr>
        <w:t xml:space="preserve">we interpret from previous studies </w:t>
      </w:r>
      <w:r w:rsidR="00FA0D71" w:rsidRPr="00BB3509">
        <w:rPr>
          <w:sz w:val="22"/>
        </w:rPr>
        <w:t>primarily intended for the serving link and not the interfering link.</w:t>
      </w:r>
      <w:bookmarkEnd w:id="1"/>
      <w:r w:rsidR="00FA0D71" w:rsidRPr="00BB3509">
        <w:rPr>
          <w:sz w:val="22"/>
        </w:rPr>
        <w:t xml:space="preserve"> </w:t>
      </w:r>
    </w:p>
    <w:p w14:paraId="3E41B1F7" w14:textId="77777777" w:rsidR="00FF1A02" w:rsidRDefault="007B0E68" w:rsidP="00FF1A02">
      <w:pPr>
        <w:pStyle w:val="Heading2"/>
      </w:pPr>
      <w:r>
        <w:t>2.3</w:t>
      </w:r>
      <w:r>
        <w:tab/>
      </w:r>
      <w:r w:rsidR="008F4CD4">
        <w:t>Considerations to derive the requirement leve</w:t>
      </w:r>
      <w:r w:rsidR="008A25BF">
        <w:t>l</w:t>
      </w:r>
    </w:p>
    <w:p w14:paraId="0F40B055" w14:textId="053B5982" w:rsidR="00070569" w:rsidRPr="00070569" w:rsidRDefault="00070569" w:rsidP="00070569">
      <w:pPr>
        <w:pStyle w:val="Heading3"/>
        <w:rPr>
          <w:rFonts w:eastAsiaTheme="minorHAnsi"/>
        </w:rPr>
      </w:pPr>
      <w:r>
        <w:t>2.3.1</w:t>
      </w:r>
      <w:r>
        <w:tab/>
      </w:r>
      <w:r w:rsidRPr="00C83FDA">
        <w:rPr>
          <w:rFonts w:eastAsiaTheme="minorHAnsi"/>
        </w:rPr>
        <w:t>Mode</w:t>
      </w:r>
      <w:r>
        <w:rPr>
          <w:rFonts w:eastAsiaTheme="minorHAnsi"/>
        </w:rPr>
        <w:t>l</w:t>
      </w:r>
      <w:r w:rsidRPr="00C83FDA">
        <w:rPr>
          <w:rFonts w:eastAsiaTheme="minorHAnsi"/>
        </w:rPr>
        <w:t xml:space="preserve">ling </w:t>
      </w:r>
      <w:r>
        <w:rPr>
          <w:rFonts w:eastAsiaTheme="minorHAnsi"/>
        </w:rPr>
        <w:t xml:space="preserve">of antenna gain </w:t>
      </w:r>
      <w:r w:rsidRPr="00C83FDA">
        <w:rPr>
          <w:rFonts w:eastAsiaTheme="minorHAnsi"/>
        </w:rPr>
        <w:t xml:space="preserve">for </w:t>
      </w:r>
      <w:r>
        <w:rPr>
          <w:rFonts w:eastAsiaTheme="minorHAnsi"/>
        </w:rPr>
        <w:t>unwanted</w:t>
      </w:r>
      <w:r w:rsidRPr="00C83FDA">
        <w:rPr>
          <w:rFonts w:eastAsiaTheme="minorHAnsi"/>
        </w:rPr>
        <w:t xml:space="preserve"> </w:t>
      </w:r>
      <w:r>
        <w:rPr>
          <w:rFonts w:eastAsiaTheme="minorHAnsi"/>
        </w:rPr>
        <w:t>e</w:t>
      </w:r>
      <w:r w:rsidRPr="00C83FDA">
        <w:rPr>
          <w:rFonts w:eastAsiaTheme="minorHAnsi"/>
        </w:rPr>
        <w:t>missions</w:t>
      </w:r>
    </w:p>
    <w:p w14:paraId="3517B7FA" w14:textId="77777777" w:rsidR="00C200D1" w:rsidRPr="00070569" w:rsidRDefault="00C200D1" w:rsidP="00C200D1">
      <w:pPr>
        <w:rPr>
          <w:rFonts w:cs="Arial"/>
          <w:sz w:val="22"/>
        </w:rPr>
      </w:pPr>
      <w:r w:rsidRPr="00070569">
        <w:rPr>
          <w:rFonts w:cs="Arial"/>
          <w:sz w:val="22"/>
        </w:rPr>
        <w:t>The model equation for analyzing decorrelation effects in advanced antenna systems (AAS) was first introduced in 3GPP Rel-11 as part of the AAS Study Item documented in TR 37.840. This equation provided a mathematical framework to capture the relationship between spatial separation, correlation, and system performance. However, at that time, RAN4 could not reach agreement on the most appropriate roll-off profile, which describes how correlation decreases as spatial separation increases. The absence of a consensus meant that the model remained incomplete in this respect, limiting its practical applicability for performance evaluations and simulations.</w:t>
      </w:r>
    </w:p>
    <w:p w14:paraId="69F9AF8F" w14:textId="77777777" w:rsidR="00C200D1" w:rsidRPr="00070569" w:rsidRDefault="00C200D1" w:rsidP="00C200D1">
      <w:pPr>
        <w:rPr>
          <w:rFonts w:cs="Arial"/>
          <w:sz w:val="22"/>
        </w:rPr>
      </w:pPr>
      <w:r w:rsidRPr="00070569">
        <w:rPr>
          <w:rFonts w:cs="Arial"/>
          <w:sz w:val="22"/>
        </w:rPr>
        <w:t>In Rel-19, a profile was finally introduced in TR 38.922 providing a reference curve for modeling decorrelation in certain deployment scenarios. This topic has also been discussed in other standardization bodies, including ITU-R and ECC, though no firm conclusions have been reached so far. Ultimately, RAN4 remains the expert group responsible for deciding on the most appropriate model for this purpose.</w:t>
      </w:r>
    </w:p>
    <w:p w14:paraId="2AD0F491" w14:textId="77777777" w:rsidR="00C200D1" w:rsidRPr="00070569" w:rsidRDefault="00C200D1" w:rsidP="00C200D1">
      <w:pPr>
        <w:rPr>
          <w:rFonts w:cs="Arial"/>
          <w:sz w:val="22"/>
        </w:rPr>
      </w:pPr>
      <w:r w:rsidRPr="00070569">
        <w:rPr>
          <w:rFonts w:cs="Arial"/>
          <w:sz w:val="22"/>
        </w:rPr>
        <w:t xml:space="preserve">The equation describes the composite far field antenna gain for an AAS in the presence of partial spatial correlation – particularly relevant for unwanted emissions. </w:t>
      </w:r>
    </w:p>
    <w:p w14:paraId="2D431C91" w14:textId="77777777" w:rsidR="00C200D1" w:rsidRPr="00070569" w:rsidRDefault="00A97BEF" w:rsidP="00C200D1">
      <w:pPr>
        <w:rPr>
          <w:rFonts w:eastAsiaTheme="minorEastAsia" w:cs="Arial"/>
          <w:iCs/>
        </w:rPr>
      </w:pPr>
      <m:oMathPara>
        <m:oMath>
          <m:sSub>
            <m:sSubPr>
              <m:ctrlPr>
                <w:rPr>
                  <w:rFonts w:ascii="Cambria Math" w:hAnsi="Cambria Math" w:cs="Arial"/>
                  <w:iCs/>
                </w:rPr>
              </m:ctrlPr>
            </m:sSubPr>
            <m:e>
              <m:r>
                <w:rPr>
                  <w:rFonts w:ascii="Cambria Math" w:hAnsi="Cambria Math" w:cs="Arial"/>
                </w:rPr>
                <m:t>A</m:t>
              </m:r>
            </m:e>
            <m:sub>
              <m:r>
                <w:rPr>
                  <w:rFonts w:ascii="Cambria Math" w:hAnsi="Cambria Math" w:cs="Arial"/>
                </w:rPr>
                <m:t>A</m:t>
              </m:r>
            </m:sub>
          </m:sSub>
          <m:d>
            <m:dPr>
              <m:ctrlPr>
                <w:rPr>
                  <w:rFonts w:ascii="Cambria Math" w:hAnsi="Cambria Math" w:cs="Arial"/>
                  <w:iCs/>
                </w:rPr>
              </m:ctrlPr>
            </m:dPr>
            <m:e>
              <m:r>
                <w:rPr>
                  <w:rFonts w:ascii="Cambria Math" w:hAnsi="Cambria Math" w:cs="Arial"/>
                </w:rPr>
                <m:t>θ</m:t>
              </m:r>
              <m:r>
                <m:rPr>
                  <m:sty m:val="p"/>
                </m:rPr>
                <w:rPr>
                  <w:rFonts w:ascii="Cambria Math" w:hAnsi="Cambria Math" w:cs="Arial"/>
                </w:rPr>
                <m:t>,</m:t>
              </m:r>
              <m:r>
                <w:rPr>
                  <w:rFonts w:ascii="Cambria Math" w:hAnsi="Cambria Math" w:cs="Arial"/>
                </w:rPr>
                <m:t>φ</m:t>
              </m:r>
            </m:e>
          </m:d>
          <m:r>
            <m:rPr>
              <m:sty m:val="p"/>
            </m:rPr>
            <w:rPr>
              <w:rFonts w:ascii="Cambria Math" w:hAnsi="Cambria Math" w:cs="Arial"/>
            </w:rPr>
            <m:t>=</m:t>
          </m:r>
          <m:sSub>
            <m:sSubPr>
              <m:ctrlPr>
                <w:rPr>
                  <w:rFonts w:ascii="Cambria Math" w:hAnsi="Cambria Math" w:cs="Arial"/>
                  <w:iCs/>
                </w:rPr>
              </m:ctrlPr>
            </m:sSubPr>
            <m:e>
              <m:r>
                <w:rPr>
                  <w:rFonts w:ascii="Cambria Math" w:hAnsi="Cambria Math" w:cs="Arial"/>
                </w:rPr>
                <m:t>A</m:t>
              </m:r>
            </m:e>
            <m:sub>
              <m:r>
                <w:rPr>
                  <w:rFonts w:ascii="Cambria Math" w:hAnsi="Cambria Math" w:cs="Arial"/>
                </w:rPr>
                <m:t>sub</m:t>
              </m:r>
            </m:sub>
          </m:sSub>
          <m:d>
            <m:dPr>
              <m:ctrlPr>
                <w:rPr>
                  <w:rFonts w:ascii="Cambria Math" w:hAnsi="Cambria Math" w:cs="Arial"/>
                  <w:iCs/>
                </w:rPr>
              </m:ctrlPr>
            </m:dPr>
            <m:e>
              <m:r>
                <w:rPr>
                  <w:rFonts w:ascii="Cambria Math" w:hAnsi="Cambria Math" w:cs="Arial"/>
                </w:rPr>
                <m:t>θ</m:t>
              </m:r>
              <m:r>
                <m:rPr>
                  <m:sty m:val="p"/>
                </m:rPr>
                <w:rPr>
                  <w:rFonts w:ascii="Cambria Math" w:hAnsi="Cambria Math" w:cs="Arial"/>
                </w:rPr>
                <m:t>,</m:t>
              </m:r>
              <m:r>
                <w:rPr>
                  <w:rFonts w:ascii="Cambria Math" w:hAnsi="Cambria Math" w:cs="Arial"/>
                </w:rPr>
                <m:t>φ</m:t>
              </m:r>
            </m:e>
          </m:d>
          <m:r>
            <m:rPr>
              <m:sty m:val="p"/>
            </m:rPr>
            <w:rPr>
              <w:rFonts w:ascii="Cambria Math" w:hAnsi="Cambria Math" w:cs="Arial"/>
            </w:rPr>
            <m:t>+10</m:t>
          </m:r>
          <m:sSub>
            <m:sSubPr>
              <m:ctrlPr>
                <w:rPr>
                  <w:rFonts w:ascii="Cambria Math" w:hAnsi="Cambria Math" w:cs="Arial"/>
                  <w:iCs/>
                </w:rPr>
              </m:ctrlPr>
            </m:sSubPr>
            <m:e>
              <m:r>
                <m:rPr>
                  <m:sty m:val="p"/>
                </m:rPr>
                <w:rPr>
                  <w:rFonts w:ascii="Cambria Math" w:hAnsi="Cambria Math" w:cs="Arial"/>
                </w:rPr>
                <m:t>log</m:t>
              </m:r>
            </m:e>
            <m:sub>
              <m:r>
                <m:rPr>
                  <m:sty m:val="p"/>
                </m:rPr>
                <w:rPr>
                  <w:rFonts w:ascii="Cambria Math" w:hAnsi="Cambria Math" w:cs="Arial"/>
                </w:rPr>
                <m:t>10</m:t>
              </m:r>
            </m:sub>
          </m:sSub>
          <m:d>
            <m:dPr>
              <m:ctrlPr>
                <w:rPr>
                  <w:rFonts w:ascii="Cambria Math" w:hAnsi="Cambria Math" w:cs="Arial"/>
                  <w:iCs/>
                </w:rPr>
              </m:ctrlPr>
            </m:dPr>
            <m:e>
              <m:r>
                <m:rPr>
                  <m:sty m:val="p"/>
                </m:rPr>
                <w:rPr>
                  <w:rFonts w:ascii="Cambria Math" w:hAnsi="Cambria Math" w:cs="Arial"/>
                </w:rPr>
                <m:t>1+</m:t>
              </m:r>
              <m:r>
                <w:rPr>
                  <w:rFonts w:ascii="Cambria Math" w:hAnsi="Cambria Math" w:cs="Arial"/>
                </w:rPr>
                <m:t>ρ</m:t>
              </m:r>
              <m:d>
                <m:dPr>
                  <m:ctrlPr>
                    <w:rPr>
                      <w:rFonts w:ascii="Cambria Math" w:hAnsi="Cambria Math" w:cs="Arial"/>
                      <w:iCs/>
                    </w:rPr>
                  </m:ctrlPr>
                </m:dPr>
                <m:e>
                  <m:sSup>
                    <m:sSupPr>
                      <m:ctrlPr>
                        <w:rPr>
                          <w:rFonts w:ascii="Cambria Math" w:hAnsi="Cambria Math" w:cs="Arial"/>
                          <w:iCs/>
                        </w:rPr>
                      </m:ctrlPr>
                    </m:sSupPr>
                    <m:e>
                      <m:d>
                        <m:dPr>
                          <m:begChr m:val="|"/>
                          <m:endChr m:val="|"/>
                          <m:ctrlPr>
                            <w:rPr>
                              <w:rFonts w:ascii="Cambria Math" w:hAnsi="Cambria Math" w:cs="Arial"/>
                              <w:iCs/>
                            </w:rPr>
                          </m:ctrlPr>
                        </m:dPr>
                        <m:e>
                          <m:nary>
                            <m:naryPr>
                              <m:chr m:val="∑"/>
                              <m:limLoc m:val="undOvr"/>
                              <m:ctrlPr>
                                <w:rPr>
                                  <w:rFonts w:ascii="Cambria Math" w:hAnsi="Cambria Math" w:cs="Arial"/>
                                  <w:iCs/>
                                </w:rPr>
                              </m:ctrlPr>
                            </m:naryPr>
                            <m:sub>
                              <m:r>
                                <w:rPr>
                                  <w:rFonts w:ascii="Cambria Math" w:hAnsi="Cambria Math" w:cs="Arial"/>
                                </w:rPr>
                                <m:t>m</m:t>
                              </m:r>
                              <m:r>
                                <m:rPr>
                                  <m:sty m:val="p"/>
                                </m:rPr>
                                <w:rPr>
                                  <w:rFonts w:ascii="Cambria Math" w:hAnsi="Cambria Math" w:cs="Arial"/>
                                </w:rPr>
                                <m:t>=1</m:t>
                              </m:r>
                            </m:sub>
                            <m:sup>
                              <m:r>
                                <w:rPr>
                                  <w:rFonts w:ascii="Cambria Math" w:hAnsi="Cambria Math" w:cs="Arial"/>
                                </w:rPr>
                                <m:t>M</m:t>
                              </m:r>
                            </m:sup>
                            <m:e>
                              <m:nary>
                                <m:naryPr>
                                  <m:chr m:val="∑"/>
                                  <m:limLoc m:val="undOvr"/>
                                  <m:ctrlPr>
                                    <w:rPr>
                                      <w:rFonts w:ascii="Cambria Math" w:hAnsi="Cambria Math" w:cs="Arial"/>
                                      <w:iCs/>
                                    </w:rPr>
                                  </m:ctrlPr>
                                </m:naryPr>
                                <m:sub>
                                  <m:r>
                                    <w:rPr>
                                      <w:rFonts w:ascii="Cambria Math" w:hAnsi="Cambria Math" w:cs="Arial"/>
                                    </w:rPr>
                                    <m:t>n</m:t>
                                  </m:r>
                                  <m:r>
                                    <m:rPr>
                                      <m:sty m:val="p"/>
                                    </m:rPr>
                                    <w:rPr>
                                      <w:rFonts w:ascii="Cambria Math" w:hAnsi="Cambria Math" w:cs="Arial"/>
                                    </w:rPr>
                                    <m:t>=1</m:t>
                                  </m:r>
                                </m:sub>
                                <m:sup>
                                  <m:r>
                                    <w:rPr>
                                      <w:rFonts w:ascii="Cambria Math" w:hAnsi="Cambria Math" w:cs="Arial"/>
                                    </w:rPr>
                                    <m:t>N</m:t>
                                  </m:r>
                                </m:sup>
                                <m:e>
                                  <m:sSub>
                                    <m:sSubPr>
                                      <m:ctrlPr>
                                        <w:rPr>
                                          <w:rFonts w:ascii="Cambria Math" w:hAnsi="Cambria Math" w:cs="Arial"/>
                                          <w:iCs/>
                                        </w:rPr>
                                      </m:ctrlPr>
                                    </m:sSubPr>
                                    <m:e>
                                      <m:r>
                                        <w:rPr>
                                          <w:rFonts w:ascii="Cambria Math" w:hAnsi="Cambria Math" w:cs="Arial"/>
                                        </w:rPr>
                                        <m:t>w</m:t>
                                      </m:r>
                                    </m:e>
                                    <m:sub>
                                      <m:r>
                                        <w:rPr>
                                          <w:rFonts w:ascii="Cambria Math" w:hAnsi="Cambria Math" w:cs="Arial"/>
                                        </w:rPr>
                                        <m:t>m</m:t>
                                      </m:r>
                                      <m:r>
                                        <m:rPr>
                                          <m:sty m:val="p"/>
                                        </m:rPr>
                                        <w:rPr>
                                          <w:rFonts w:ascii="Cambria Math" w:hAnsi="Cambria Math" w:cs="Arial"/>
                                        </w:rPr>
                                        <m:t>,</m:t>
                                      </m:r>
                                      <m:r>
                                        <w:rPr>
                                          <w:rFonts w:ascii="Cambria Math" w:hAnsi="Cambria Math" w:cs="Arial"/>
                                        </w:rPr>
                                        <m:t>n</m:t>
                                      </m:r>
                                    </m:sub>
                                  </m:sSub>
                                  <m:sSub>
                                    <m:sSubPr>
                                      <m:ctrlPr>
                                        <w:rPr>
                                          <w:rFonts w:ascii="Cambria Math" w:hAnsi="Cambria Math" w:cs="Arial"/>
                                          <w:iCs/>
                                        </w:rPr>
                                      </m:ctrlPr>
                                    </m:sSubPr>
                                    <m:e>
                                      <m:r>
                                        <w:rPr>
                                          <w:rFonts w:ascii="Cambria Math" w:hAnsi="Cambria Math" w:cs="Arial"/>
                                        </w:rPr>
                                        <m:t>v</m:t>
                                      </m:r>
                                    </m:e>
                                    <m:sub>
                                      <m:r>
                                        <w:rPr>
                                          <w:rFonts w:ascii="Cambria Math" w:hAnsi="Cambria Math" w:cs="Arial"/>
                                        </w:rPr>
                                        <m:t>m</m:t>
                                      </m:r>
                                      <m:r>
                                        <m:rPr>
                                          <m:sty m:val="p"/>
                                        </m:rPr>
                                        <w:rPr>
                                          <w:rFonts w:ascii="Cambria Math" w:hAnsi="Cambria Math" w:cs="Arial"/>
                                        </w:rPr>
                                        <m:t>,</m:t>
                                      </m:r>
                                      <m:r>
                                        <w:rPr>
                                          <w:rFonts w:ascii="Cambria Math" w:hAnsi="Cambria Math" w:cs="Arial"/>
                                        </w:rPr>
                                        <m:t>n</m:t>
                                      </m:r>
                                    </m:sub>
                                  </m:sSub>
                                </m:e>
                              </m:nary>
                            </m:e>
                          </m:nary>
                        </m:e>
                      </m:d>
                    </m:e>
                    <m:sup>
                      <m:r>
                        <m:rPr>
                          <m:sty m:val="p"/>
                        </m:rPr>
                        <w:rPr>
                          <w:rFonts w:ascii="Cambria Math" w:hAnsi="Cambria Math" w:cs="Arial"/>
                        </w:rPr>
                        <m:t>2</m:t>
                      </m:r>
                    </m:sup>
                  </m:sSup>
                  <m:r>
                    <m:rPr>
                      <m:sty m:val="p"/>
                    </m:rPr>
                    <w:rPr>
                      <w:rFonts w:ascii="Cambria Math" w:hAnsi="Cambria Math" w:cs="Arial"/>
                    </w:rPr>
                    <m:t>-1</m:t>
                  </m:r>
                </m:e>
              </m:d>
            </m:e>
          </m:d>
        </m:oMath>
      </m:oMathPara>
    </w:p>
    <w:p w14:paraId="02ABC1DE" w14:textId="77777777" w:rsidR="00C200D1" w:rsidRPr="00070569" w:rsidRDefault="00C200D1" w:rsidP="00C200D1">
      <w:pPr>
        <w:rPr>
          <w:rFonts w:cs="Arial"/>
          <w:sz w:val="22"/>
        </w:rPr>
      </w:pPr>
      <w:r w:rsidRPr="00070569">
        <w:rPr>
          <w:rFonts w:cs="Arial"/>
          <w:sz w:val="22"/>
        </w:rPr>
        <w:lastRenderedPageBreak/>
        <w:t>As can be seen in the equation, the composite antenna pattern is the sum of the subarray element gain and an array gain component which depends on the array geometry, beamforming vector and element correlation. This model accounts for spatial decorrelation due to spectral separation from the carrier, which affects the coherent summation in the array factor. The key addition in this model is the ρ(f) where f=offset from carrier center, which models the roll-off of coherent gain as a function of offset from the carrier center frequency.</w:t>
      </w:r>
    </w:p>
    <w:p w14:paraId="1239174D" w14:textId="77777777" w:rsidR="00C200D1" w:rsidRPr="00070569" w:rsidRDefault="00C200D1" w:rsidP="00C200D1">
      <w:pPr>
        <w:rPr>
          <w:rFonts w:cs="Arial"/>
          <w:sz w:val="22"/>
          <w:lang w:val="en-IN"/>
        </w:rPr>
      </w:pPr>
      <w:r w:rsidRPr="00070569">
        <w:rPr>
          <w:rFonts w:cs="Arial"/>
          <w:sz w:val="22"/>
          <w:lang w:val="en-IN"/>
        </w:rPr>
        <w:t xml:space="preserve">In the TR 38.922 Clause 7.3.2.1.2, </w:t>
      </w:r>
      <w:r w:rsidRPr="00070569">
        <w:rPr>
          <w:rFonts w:cs="Arial"/>
          <w:sz w:val="22"/>
        </w:rPr>
        <w:t>a parameterized piece-wise linear roll-off model is suggested to capture fundamental aspects of the array antenna gain drop outside the wanted signal.</w:t>
      </w:r>
    </w:p>
    <w:p w14:paraId="333F9A8D" w14:textId="77777777" w:rsidR="00C200D1" w:rsidRPr="00070569" w:rsidRDefault="00C200D1" w:rsidP="00C200D1">
      <w:pPr>
        <w:rPr>
          <w:rFonts w:cs="Arial"/>
        </w:rPr>
      </w:pPr>
    </w:p>
    <w:p w14:paraId="2A18D8D5" w14:textId="77777777" w:rsidR="00C200D1" w:rsidRPr="00070569" w:rsidRDefault="00C200D1" w:rsidP="00C200D1">
      <w:pPr>
        <w:jc w:val="center"/>
        <w:rPr>
          <w:rFonts w:cs="Arial"/>
        </w:rPr>
      </w:pPr>
      <w:r w:rsidRPr="00070569">
        <w:rPr>
          <w:rFonts w:cs="Arial"/>
          <w:noProof/>
        </w:rPr>
        <w:drawing>
          <wp:inline distT="0" distB="0" distL="0" distR="0" wp14:anchorId="4551D48D" wp14:editId="6F540700">
            <wp:extent cx="6419850" cy="2142835"/>
            <wp:effectExtent l="0" t="0" r="0" b="0"/>
            <wp:docPr id="10687847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433127" cy="2147267"/>
                    </a:xfrm>
                    <a:prstGeom prst="rect">
                      <a:avLst/>
                    </a:prstGeom>
                    <a:noFill/>
                    <a:ln>
                      <a:noFill/>
                    </a:ln>
                  </pic:spPr>
                </pic:pic>
              </a:graphicData>
            </a:graphic>
          </wp:inline>
        </w:drawing>
      </w:r>
    </w:p>
    <w:p w14:paraId="2DBB7228" w14:textId="77777777" w:rsidR="00C200D1" w:rsidRPr="00070569" w:rsidRDefault="00C200D1" w:rsidP="00C200D1">
      <w:pPr>
        <w:rPr>
          <w:rFonts w:cs="Arial"/>
          <w:szCs w:val="20"/>
        </w:rPr>
      </w:pPr>
    </w:p>
    <w:p w14:paraId="16433368" w14:textId="20A9D0C9" w:rsidR="00C200D1" w:rsidRPr="00070569" w:rsidRDefault="00C200D1" w:rsidP="00C200D1">
      <w:pPr>
        <w:rPr>
          <w:rFonts w:cs="Arial"/>
          <w:sz w:val="22"/>
        </w:rPr>
      </w:pPr>
      <w:r w:rsidRPr="00070569">
        <w:rPr>
          <w:rFonts w:cs="Arial"/>
          <w:sz w:val="22"/>
        </w:rPr>
        <w:t>This function rolls off from:</w:t>
      </w:r>
    </w:p>
    <w:p w14:paraId="2B17CFF5" w14:textId="77777777" w:rsidR="00C200D1" w:rsidRPr="00070569" w:rsidRDefault="00C200D1" w:rsidP="00C200D1">
      <w:pPr>
        <w:pStyle w:val="ListParagraph"/>
        <w:numPr>
          <w:ilvl w:val="0"/>
          <w:numId w:val="29"/>
        </w:numPr>
        <w:rPr>
          <w:rFonts w:ascii="Arial" w:hAnsi="Arial" w:cs="Arial"/>
        </w:rPr>
      </w:pPr>
      <w:r w:rsidRPr="00070569">
        <w:rPr>
          <w:rFonts w:ascii="Arial" w:hAnsi="Arial" w:cs="Arial"/>
        </w:rPr>
        <w:t>ρ(f)=1 when fc is [</w:t>
      </w:r>
      <w:r w:rsidRPr="00070569">
        <w:rPr>
          <w:rFonts w:ascii="Arial" w:hAnsi="Arial" w:cs="Arial"/>
          <w:lang w:val="en-US"/>
        </w:rPr>
        <w:t>−0.5B, 0.5B</w:t>
      </w:r>
      <w:r w:rsidRPr="00070569">
        <w:rPr>
          <w:rFonts w:ascii="Arial" w:hAnsi="Arial" w:cs="Arial"/>
        </w:rPr>
        <w:t>] resulting in full coherent gain</w:t>
      </w:r>
    </w:p>
    <w:p w14:paraId="4B91C62A" w14:textId="77777777" w:rsidR="00C200D1" w:rsidRPr="00070569" w:rsidRDefault="00C200D1" w:rsidP="00C200D1">
      <w:pPr>
        <w:pStyle w:val="ListParagraph"/>
        <w:numPr>
          <w:ilvl w:val="0"/>
          <w:numId w:val="29"/>
        </w:numPr>
        <w:rPr>
          <w:rFonts w:ascii="Arial" w:hAnsi="Arial" w:cs="Arial"/>
        </w:rPr>
      </w:pPr>
      <w:r w:rsidRPr="00070569">
        <w:rPr>
          <w:rFonts w:ascii="Arial" w:hAnsi="Arial" w:cs="Arial"/>
        </w:rPr>
        <w:t xml:space="preserve">ρ(f)=0 when f = </w:t>
      </w:r>
      <w:r w:rsidRPr="00070569">
        <w:rPr>
          <w:rFonts w:ascii="Arial" w:hAnsi="Arial" w:cs="Arial"/>
          <w:lang w:val="en-US"/>
        </w:rPr>
        <w:t>±</w:t>
      </w:r>
      <w:proofErr w:type="spellStart"/>
      <w:r w:rsidRPr="00070569">
        <w:rPr>
          <w:rFonts w:ascii="Arial" w:hAnsi="Arial" w:cs="Arial"/>
          <w:lang w:val="en-US"/>
        </w:rPr>
        <w:t>fo</w:t>
      </w:r>
      <w:proofErr w:type="spellEnd"/>
      <w:r w:rsidRPr="00070569">
        <w:rPr>
          <w:rFonts w:ascii="Arial" w:hAnsi="Arial" w:cs="Arial"/>
          <w:lang w:val="en-US"/>
        </w:rPr>
        <w:t xml:space="preserve"> resulting in only subarray gain (no beamforming)</w:t>
      </w:r>
    </w:p>
    <w:p w14:paraId="326C2322" w14:textId="77777777" w:rsidR="00C200D1" w:rsidRPr="00070569" w:rsidRDefault="00C200D1" w:rsidP="00C200D1">
      <w:pPr>
        <w:rPr>
          <w:rFonts w:cs="Arial"/>
          <w:sz w:val="22"/>
        </w:rPr>
      </w:pPr>
    </w:p>
    <w:p w14:paraId="798C9C13" w14:textId="77777777" w:rsidR="00C200D1" w:rsidRPr="00070569" w:rsidRDefault="00C200D1" w:rsidP="00C200D1">
      <w:pPr>
        <w:rPr>
          <w:rFonts w:cs="Arial"/>
          <w:sz w:val="22"/>
        </w:rPr>
      </w:pPr>
      <w:r w:rsidRPr="00070569">
        <w:rPr>
          <w:rFonts w:cs="Arial"/>
          <w:sz w:val="22"/>
        </w:rPr>
        <w:t>Many companies have raised concerns that assuming the correlation factor ρ(f) to be either 0 or 1 outside the desired carrier band is too simplistic and unrealistic for unwanted emissions from an Active Antenna System (AAS).</w:t>
      </w:r>
    </w:p>
    <w:p w14:paraId="224C851B" w14:textId="77777777" w:rsidR="00C200D1" w:rsidRPr="00070569" w:rsidRDefault="00C200D1" w:rsidP="00C200D1">
      <w:pPr>
        <w:rPr>
          <w:rFonts w:cs="Arial"/>
          <w:sz w:val="22"/>
        </w:rPr>
      </w:pPr>
      <w:r w:rsidRPr="00070569">
        <w:rPr>
          <w:rFonts w:cs="Arial"/>
          <w:sz w:val="22"/>
        </w:rPr>
        <w:t>The unwanted emissions consist of a mix of two components:</w:t>
      </w:r>
    </w:p>
    <w:p w14:paraId="6C9B2E8E" w14:textId="77777777" w:rsidR="00C200D1" w:rsidRPr="00070569" w:rsidRDefault="00C200D1" w:rsidP="00C200D1">
      <w:pPr>
        <w:numPr>
          <w:ilvl w:val="0"/>
          <w:numId w:val="30"/>
        </w:numPr>
        <w:rPr>
          <w:rFonts w:cs="Arial"/>
          <w:sz w:val="22"/>
        </w:rPr>
      </w:pPr>
      <w:r w:rsidRPr="00070569">
        <w:rPr>
          <w:rFonts w:cs="Arial"/>
          <w:sz w:val="22"/>
        </w:rPr>
        <w:t>Correlated intermodulation distortion (IMD) products, which are partially coherent across antenna elements because they originate from the same nonlinear processes.</w:t>
      </w:r>
    </w:p>
    <w:p w14:paraId="1855DDF2" w14:textId="77777777" w:rsidR="00C200D1" w:rsidRPr="00070569" w:rsidRDefault="00C200D1" w:rsidP="00C200D1">
      <w:pPr>
        <w:numPr>
          <w:ilvl w:val="0"/>
          <w:numId w:val="30"/>
        </w:numPr>
        <w:rPr>
          <w:rFonts w:cs="Arial"/>
          <w:sz w:val="22"/>
        </w:rPr>
      </w:pPr>
      <w:r w:rsidRPr="00070569">
        <w:rPr>
          <w:rFonts w:cs="Arial"/>
          <w:sz w:val="22"/>
        </w:rPr>
        <w:lastRenderedPageBreak/>
        <w:t>Uncorrelated wideband transmitter noise, which is random and independent at each antenna element.</w:t>
      </w:r>
    </w:p>
    <w:p w14:paraId="3130572B" w14:textId="77777777" w:rsidR="00C200D1" w:rsidRDefault="00C200D1" w:rsidP="00C200D1">
      <w:pPr>
        <w:rPr>
          <w:rFonts w:cs="Arial"/>
          <w:sz w:val="22"/>
        </w:rPr>
      </w:pPr>
      <w:r w:rsidRPr="00070569">
        <w:rPr>
          <w:rFonts w:cs="Arial"/>
          <w:sz w:val="22"/>
        </w:rPr>
        <w:t>Because of this mixture, the correlation factor ρ(f) does not simply jump from 1 (fully correlated) inside the carrier to 0 (fully uncorrelated) immediately outside it. Instead, ρ(f) gradually decreases with frequency offset from the carrier edge as noise becomes more dominant and coherence diminishes. Assuming ρ(f)=1 outside the carrier tends to overestimate the coherent array gain, potentially underestimating interference levels, while assuming ρ(f)=0 can be too conservative by ignoring any partial correlation that exists.</w:t>
      </w:r>
    </w:p>
    <w:p w14:paraId="0F376D87" w14:textId="54350172" w:rsidR="00F3203A" w:rsidRPr="00070569" w:rsidRDefault="00F3203A" w:rsidP="00C200D1">
      <w:pPr>
        <w:rPr>
          <w:rFonts w:cs="Arial"/>
          <w:sz w:val="22"/>
        </w:rPr>
      </w:pPr>
      <w:r>
        <w:rPr>
          <w:rFonts w:cs="Arial"/>
          <w:sz w:val="22"/>
        </w:rPr>
        <w:t xml:space="preserve">For the calibration activity, </w:t>
      </w:r>
      <w:r w:rsidR="00035052">
        <w:rPr>
          <w:rFonts w:cs="Arial"/>
          <w:sz w:val="22"/>
        </w:rPr>
        <w:t xml:space="preserve">we follow a stepwise approach and </w:t>
      </w:r>
      <w:r w:rsidR="00C247D0">
        <w:rPr>
          <w:rFonts w:cs="Arial"/>
          <w:sz w:val="22"/>
        </w:rPr>
        <w:t xml:space="preserve">agreed to use </w:t>
      </w:r>
      <w:r w:rsidR="00C247D0" w:rsidRPr="00070569">
        <w:rPr>
          <w:rFonts w:cs="Arial"/>
          <w:sz w:val="22"/>
        </w:rPr>
        <w:t>ρ</w:t>
      </w:r>
      <w:r w:rsidR="00C247D0">
        <w:rPr>
          <w:rFonts w:cs="Arial"/>
          <w:sz w:val="22"/>
        </w:rPr>
        <w:t xml:space="preserve"> as 1. </w:t>
      </w:r>
    </w:p>
    <w:p w14:paraId="2B77DB32" w14:textId="77777777" w:rsidR="00C200D1" w:rsidRPr="00070569" w:rsidRDefault="00C200D1" w:rsidP="00C200D1">
      <w:pPr>
        <w:pStyle w:val="Observation"/>
        <w:rPr>
          <w:rFonts w:cs="Arial"/>
          <w:sz w:val="22"/>
        </w:rPr>
      </w:pPr>
      <w:bookmarkStart w:id="2" w:name="_Toc206165221"/>
      <w:bookmarkStart w:id="3" w:name="_Toc210423385"/>
      <w:r w:rsidRPr="00070569">
        <w:rPr>
          <w:rFonts w:cs="Arial"/>
          <w:sz w:val="22"/>
        </w:rPr>
        <w:t>A more realistic approach could be a parameterized roll-off model for ρ(f), where correlation declines progressively from 1 inside the carrier to 0 far outside.</w:t>
      </w:r>
      <w:bookmarkEnd w:id="2"/>
      <w:bookmarkEnd w:id="3"/>
    </w:p>
    <w:p w14:paraId="3020DC84" w14:textId="77777777" w:rsidR="00C200D1" w:rsidRPr="00070569" w:rsidRDefault="00C200D1" w:rsidP="00C200D1">
      <w:pPr>
        <w:pStyle w:val="NoSpacing"/>
        <w:rPr>
          <w:rFonts w:cs="Arial"/>
          <w:sz w:val="22"/>
        </w:rPr>
      </w:pPr>
      <w:r w:rsidRPr="00070569">
        <w:rPr>
          <w:rFonts w:cs="Arial"/>
          <w:sz w:val="22"/>
        </w:rPr>
        <w:t>Selecting ρ therefore balances between underestimating array gain by assuming too little correlation and overestimating it by assuming too much, making it crucial to choose a value that reflects the actual mixture of noise and distortion in the system.</w:t>
      </w:r>
    </w:p>
    <w:p w14:paraId="77B87523" w14:textId="77777777" w:rsidR="00C200D1" w:rsidRPr="00070569" w:rsidRDefault="00C200D1" w:rsidP="00C200D1">
      <w:pPr>
        <w:pStyle w:val="NoSpacing"/>
        <w:rPr>
          <w:rFonts w:cs="Arial"/>
          <w:sz w:val="22"/>
        </w:rPr>
      </w:pPr>
    </w:p>
    <w:p w14:paraId="7A72C0F7" w14:textId="77777777" w:rsidR="00C200D1" w:rsidRPr="00070569" w:rsidRDefault="00C200D1" w:rsidP="00C200D1">
      <w:pPr>
        <w:pStyle w:val="NoSpacing"/>
        <w:rPr>
          <w:rFonts w:cs="Arial"/>
          <w:sz w:val="22"/>
        </w:rPr>
      </w:pPr>
      <w:r w:rsidRPr="00070569">
        <w:rPr>
          <w:rFonts w:cs="Arial"/>
          <w:sz w:val="22"/>
        </w:rPr>
        <w:t>The full array doesn’t make sense for integer multiples of the fundamental frequency as the antenna array and beamforming are primarily optimized for the fundamental frequency. Thus, the antenna efficiency drops reducing the effective radiated power at integer multiples regardless of the array size. We can also not ignore the fact that the physical size of the antenna elements is fixed but the wavelength λ changes with frequency which further drastically changes the radiation pattern, impedance input and efficiency. These combined effects of wavelength mismatch, reduced antenna efficiency and incoherent nature of the integer multiples of the fundamental frequency eliminates the possibility for the antenna array to achieve full array gain.</w:t>
      </w:r>
    </w:p>
    <w:p w14:paraId="1F61AA4F" w14:textId="77777777" w:rsidR="00C200D1" w:rsidRPr="00070569" w:rsidRDefault="00C200D1" w:rsidP="00C200D1">
      <w:pPr>
        <w:pStyle w:val="NoSpacing"/>
        <w:rPr>
          <w:rFonts w:cs="Arial"/>
          <w:sz w:val="22"/>
        </w:rPr>
      </w:pPr>
    </w:p>
    <w:p w14:paraId="00CF65CE" w14:textId="4E1F27A4" w:rsidR="00C200D1" w:rsidRPr="00070569" w:rsidRDefault="79F1C65C" w:rsidP="50B1AB43">
      <w:pPr>
        <w:pStyle w:val="Observation"/>
        <w:rPr>
          <w:rFonts w:cs="Arial"/>
          <w:sz w:val="22"/>
        </w:rPr>
      </w:pPr>
      <w:bookmarkStart w:id="4" w:name="_Toc206165222"/>
      <w:bookmarkStart w:id="5" w:name="_Toc210423386"/>
      <w:r w:rsidRPr="50B1AB43">
        <w:rPr>
          <w:rFonts w:cs="Arial"/>
          <w:sz w:val="22"/>
        </w:rPr>
        <w:t>The combined effects of wavelength mismatch, reduced antenna efficiency and incoherent nature of the integer multiples of the fundamental frequency eliminate the possibility for the antenna array to achieve full array gain.</w:t>
      </w:r>
      <w:bookmarkEnd w:id="4"/>
      <w:bookmarkEnd w:id="5"/>
      <w:r w:rsidR="00C200D1">
        <w:br/>
      </w:r>
    </w:p>
    <w:p w14:paraId="2F813FCB" w14:textId="77777777" w:rsidR="00C200D1" w:rsidRPr="002B0309" w:rsidRDefault="00C200D1" w:rsidP="002B0309">
      <w:pPr>
        <w:pStyle w:val="Proposal"/>
        <w:rPr>
          <w:sz w:val="22"/>
        </w:rPr>
      </w:pPr>
      <w:bookmarkStart w:id="6" w:name="_Toc206165223"/>
      <w:bookmarkStart w:id="7" w:name="_Toc210423388"/>
      <w:r w:rsidRPr="002B0309">
        <w:rPr>
          <w:sz w:val="22"/>
        </w:rPr>
        <w:t>RAN4 needs to agree on an appropriate correlation factor ρ(f) that effectively balances the trade-off in modeling the coherence of unwanted emissions.</w:t>
      </w:r>
      <w:bookmarkEnd w:id="6"/>
      <w:bookmarkEnd w:id="7"/>
    </w:p>
    <w:p w14:paraId="0C790BD1" w14:textId="77777777" w:rsidR="00C200D1" w:rsidRPr="00070569" w:rsidRDefault="00C200D1" w:rsidP="00C200D1">
      <w:pPr>
        <w:pStyle w:val="NoSpacing"/>
        <w:rPr>
          <w:rFonts w:cs="Arial"/>
          <w:sz w:val="22"/>
        </w:rPr>
      </w:pPr>
    </w:p>
    <w:p w14:paraId="1AC71154" w14:textId="6FE9F8B4" w:rsidR="00C200D1" w:rsidRPr="00070569" w:rsidRDefault="00C200D1" w:rsidP="00C200D1">
      <w:pPr>
        <w:pStyle w:val="NoSpacing"/>
        <w:rPr>
          <w:rFonts w:cs="Arial"/>
          <w:sz w:val="22"/>
        </w:rPr>
      </w:pPr>
      <w:r w:rsidRPr="00070569">
        <w:rPr>
          <w:rFonts w:cs="Arial"/>
          <w:sz w:val="22"/>
        </w:rPr>
        <w:t xml:space="preserve">As a tradeoff due to above reasons, we can look at 0.5 (partial coherent), as a way to model the partial coherence between array elements. </w:t>
      </w:r>
    </w:p>
    <w:p w14:paraId="2608D255" w14:textId="77777777" w:rsidR="003868DC" w:rsidRPr="00C200D1" w:rsidRDefault="003868DC" w:rsidP="003868DC">
      <w:pPr>
        <w:rPr>
          <w:lang w:eastAsia="ja-JP"/>
        </w:rPr>
      </w:pPr>
    </w:p>
    <w:p w14:paraId="3DB7CA14" w14:textId="5C95BC13" w:rsidR="00C247D0" w:rsidRPr="00070569" w:rsidRDefault="00C247D0" w:rsidP="00C247D0">
      <w:pPr>
        <w:pStyle w:val="Heading3"/>
        <w:rPr>
          <w:rFonts w:eastAsiaTheme="minorHAnsi"/>
        </w:rPr>
      </w:pPr>
      <w:r>
        <w:t>2.3.2</w:t>
      </w:r>
      <w:r>
        <w:tab/>
      </w:r>
      <w:r>
        <w:rPr>
          <w:rFonts w:eastAsiaTheme="minorHAnsi"/>
        </w:rPr>
        <w:t xml:space="preserve">BS-to-BS coupling </w:t>
      </w:r>
      <w:r w:rsidR="00A04D53">
        <w:rPr>
          <w:rFonts w:eastAsiaTheme="minorHAnsi"/>
        </w:rPr>
        <w:t xml:space="preserve">network </w:t>
      </w:r>
      <w:r w:rsidR="004A54EF">
        <w:rPr>
          <w:rFonts w:eastAsiaTheme="minorHAnsi"/>
        </w:rPr>
        <w:t>grid shift</w:t>
      </w:r>
    </w:p>
    <w:p w14:paraId="4756A18F" w14:textId="30D295C7" w:rsidR="00385F60" w:rsidRPr="007778EC" w:rsidRDefault="00385F60" w:rsidP="003868DC">
      <w:pPr>
        <w:rPr>
          <w:sz w:val="22"/>
          <w:lang w:val="en-GB" w:eastAsia="ja-JP"/>
        </w:rPr>
      </w:pPr>
      <w:r w:rsidRPr="007778EC">
        <w:rPr>
          <w:sz w:val="22"/>
          <w:lang w:val="en-GB" w:eastAsia="ja-JP"/>
        </w:rPr>
        <w:t>In Rel-99</w:t>
      </w:r>
      <w:r w:rsidR="00313910" w:rsidRPr="007778EC">
        <w:rPr>
          <w:sz w:val="22"/>
          <w:lang w:val="en-GB" w:eastAsia="ja-JP"/>
        </w:rPr>
        <w:t xml:space="preserve"> TR 25.942</w:t>
      </w:r>
      <w:r w:rsidRPr="007778EC">
        <w:rPr>
          <w:sz w:val="22"/>
          <w:lang w:val="en-GB" w:eastAsia="ja-JP"/>
        </w:rPr>
        <w:t xml:space="preserve">, the BS-to-BS coupling loss was derived assuming an intermediate case scenario of 288m which reflects 50% grid shift. </w:t>
      </w:r>
      <w:r w:rsidR="00837FCB" w:rsidRPr="007778EC">
        <w:rPr>
          <w:sz w:val="22"/>
          <w:lang w:val="en-GB" w:eastAsia="ja-JP"/>
        </w:rPr>
        <w:t xml:space="preserve">The layout </w:t>
      </w:r>
      <w:r w:rsidR="00782F8D" w:rsidRPr="007778EC">
        <w:rPr>
          <w:sz w:val="22"/>
          <w:lang w:val="en-GB" w:eastAsia="ja-JP"/>
        </w:rPr>
        <w:t xml:space="preserve">is specified in Clause 5.1.3.1.2 and the Minimum Coupling Loss derivation is </w:t>
      </w:r>
      <w:r w:rsidR="00313910" w:rsidRPr="007778EC">
        <w:rPr>
          <w:sz w:val="22"/>
          <w:lang w:val="en-GB" w:eastAsia="ja-JP"/>
        </w:rPr>
        <w:t xml:space="preserve">in Clause 10.2.1. </w:t>
      </w:r>
      <w:r w:rsidR="007778EC" w:rsidRPr="007778EC">
        <w:rPr>
          <w:sz w:val="22"/>
          <w:lang w:val="en-GB" w:eastAsia="ja-JP"/>
        </w:rPr>
        <w:t>To</w:t>
      </w:r>
      <w:r w:rsidR="00EF3234" w:rsidRPr="007778EC">
        <w:rPr>
          <w:sz w:val="22"/>
          <w:lang w:val="en-GB" w:eastAsia="ja-JP"/>
        </w:rPr>
        <w:t xml:space="preserve"> align with Rel-99 assumptions </w:t>
      </w:r>
      <w:r w:rsidR="007778EC" w:rsidRPr="007778EC">
        <w:rPr>
          <w:sz w:val="22"/>
          <w:lang w:val="en-GB" w:eastAsia="ja-JP"/>
        </w:rPr>
        <w:t>and</w:t>
      </w:r>
      <w:r w:rsidR="001E0DE4" w:rsidRPr="007778EC">
        <w:rPr>
          <w:sz w:val="22"/>
          <w:lang w:val="en-GB" w:eastAsia="ja-JP"/>
        </w:rPr>
        <w:t xml:space="preserve"> considering what will depict a real deployment, </w:t>
      </w:r>
      <w:r w:rsidR="00CD3762" w:rsidRPr="007778EC">
        <w:rPr>
          <w:sz w:val="22"/>
          <w:lang w:val="en-GB" w:eastAsia="ja-JP"/>
        </w:rPr>
        <w:t xml:space="preserve">grid shift 50% sounds reasonable. </w:t>
      </w:r>
    </w:p>
    <w:p w14:paraId="0EE79D3C" w14:textId="77777777" w:rsidR="007778EC" w:rsidRPr="007778EC" w:rsidRDefault="007778EC" w:rsidP="007778EC">
      <w:pPr>
        <w:pStyle w:val="Proposal"/>
        <w:rPr>
          <w:sz w:val="22"/>
        </w:rPr>
      </w:pPr>
      <w:bookmarkStart w:id="8" w:name="_Toc206165232"/>
      <w:bookmarkStart w:id="9" w:name="_Toc210423389"/>
      <w:r w:rsidRPr="007778EC">
        <w:rPr>
          <w:sz w:val="22"/>
        </w:rPr>
        <w:lastRenderedPageBreak/>
        <w:t>RAN4 to keep similar assumption of Rel-99 approach between BSs of different operators - 50% grid shift for BS-to-BS propagation.</w:t>
      </w:r>
      <w:bookmarkEnd w:id="8"/>
      <w:bookmarkEnd w:id="9"/>
    </w:p>
    <w:p w14:paraId="268E4517" w14:textId="77777777" w:rsidR="00385F60" w:rsidRDefault="00385F60" w:rsidP="007778EC">
      <w:pPr>
        <w:pStyle w:val="Proposal"/>
        <w:numPr>
          <w:ilvl w:val="0"/>
          <w:numId w:val="0"/>
        </w:numPr>
        <w:ind w:left="1701"/>
        <w:rPr>
          <w:lang w:val="en-GB"/>
        </w:rPr>
      </w:pPr>
    </w:p>
    <w:p w14:paraId="23240D67" w14:textId="77777777" w:rsidR="00385F60" w:rsidRDefault="00385F60" w:rsidP="003868DC">
      <w:pPr>
        <w:rPr>
          <w:lang w:val="en-GB" w:eastAsia="ja-JP"/>
        </w:rPr>
      </w:pPr>
    </w:p>
    <w:p w14:paraId="042ADBD6" w14:textId="3B7F327F" w:rsidR="003868DC" w:rsidRPr="006E47F0" w:rsidRDefault="007778EC" w:rsidP="007778EC">
      <w:pPr>
        <w:pStyle w:val="Heading3"/>
      </w:pPr>
      <w:r>
        <w:t>2.3.3</w:t>
      </w:r>
      <w:r>
        <w:tab/>
      </w:r>
      <w:r w:rsidR="00202C77">
        <w:t>Percentile on the Coupling Loss CDF curves</w:t>
      </w:r>
    </w:p>
    <w:p w14:paraId="5DADDFE2" w14:textId="0C17C628" w:rsidR="009531E6" w:rsidRPr="00D97EE5" w:rsidRDefault="00AC53D6" w:rsidP="003868DC">
      <w:pPr>
        <w:rPr>
          <w:sz w:val="22"/>
          <w:lang w:eastAsia="ja-JP"/>
        </w:rPr>
      </w:pPr>
      <w:r w:rsidRPr="00D97EE5">
        <w:rPr>
          <w:sz w:val="22"/>
          <w:lang w:eastAsia="ja-JP"/>
        </w:rPr>
        <w:t>In the RAN4#115 agreements, it was stated to use 99%ile as a starting point of the Coupling Loss CDF plots. However, in RAN4#116</w:t>
      </w:r>
      <w:r w:rsidR="0057463D" w:rsidRPr="00D97EE5">
        <w:rPr>
          <w:sz w:val="22"/>
          <w:lang w:eastAsia="ja-JP"/>
        </w:rPr>
        <w:t xml:space="preserve"> it was decided to run a calibration activity as the results were spread between the participating companies. </w:t>
      </w:r>
      <w:r w:rsidR="001A3DEB" w:rsidRPr="00D97EE5">
        <w:rPr>
          <w:sz w:val="22"/>
          <w:lang w:eastAsia="ja-JP"/>
        </w:rPr>
        <w:t xml:space="preserve">The discussion on what percentile to </w:t>
      </w:r>
      <w:r w:rsidR="00760D8B" w:rsidRPr="00D97EE5">
        <w:rPr>
          <w:sz w:val="22"/>
          <w:lang w:eastAsia="ja-JP"/>
        </w:rPr>
        <w:t>look at</w:t>
      </w:r>
      <w:r w:rsidR="001A3DEB" w:rsidRPr="00D97EE5">
        <w:rPr>
          <w:sz w:val="22"/>
          <w:lang w:eastAsia="ja-JP"/>
        </w:rPr>
        <w:t xml:space="preserve"> </w:t>
      </w:r>
      <w:r w:rsidR="009531E6" w:rsidRPr="00D97EE5">
        <w:rPr>
          <w:sz w:val="22"/>
          <w:lang w:eastAsia="ja-JP"/>
        </w:rPr>
        <w:t xml:space="preserve">is still among the open issues. </w:t>
      </w:r>
      <w:r w:rsidR="00DE05DE" w:rsidRPr="00D97EE5">
        <w:rPr>
          <w:sz w:val="22"/>
        </w:rPr>
        <w:t>In Rel-99, the Minimum Coupling Loss which refers to 100% on the CDF curve was calculated towards the wanted UE or a neighboring base station. This value, however, is at the queue of the CDF, which is very sensitive to the simulation and can fluctuate across different simulation runs because the beams are dynamically adjusting, which might lead to variability in observed MCL values.</w:t>
      </w:r>
    </w:p>
    <w:p w14:paraId="0691652F" w14:textId="0DBD68FE" w:rsidR="0056280A" w:rsidRPr="003868DC" w:rsidRDefault="007E0F65" w:rsidP="00BB3509">
      <w:pPr>
        <w:pStyle w:val="Proposal"/>
        <w:sectPr w:rsidR="0056280A" w:rsidRPr="003868DC" w:rsidSect="007B0E68">
          <w:headerReference w:type="even" r:id="rId20"/>
          <w:footerReference w:type="default" r:id="rId21"/>
          <w:footnotePr>
            <w:numRestart w:val="eachSect"/>
          </w:footnotePr>
          <w:pgSz w:w="16840" w:h="11907" w:orient="landscape" w:code="9"/>
          <w:pgMar w:top="1134" w:right="1418" w:bottom="1134" w:left="1134" w:header="680" w:footer="567" w:gutter="0"/>
          <w:cols w:space="720"/>
          <w:docGrid w:linePitch="272"/>
        </w:sectPr>
      </w:pPr>
      <w:bookmarkStart w:id="10" w:name="_Toc210423390"/>
      <w:r>
        <w:rPr>
          <w:sz w:val="22"/>
        </w:rPr>
        <w:t>RAN4 to discuss the percentile on the Coupling Loss CDF curves, instead of the minimum valu</w:t>
      </w:r>
      <w:r w:rsidR="00BB3509">
        <w:rPr>
          <w:sz w:val="22"/>
        </w:rPr>
        <w:t>e.</w:t>
      </w:r>
      <w:bookmarkEnd w:id="10"/>
    </w:p>
    <w:p w14:paraId="3879E8F8" w14:textId="7728B527" w:rsidR="008A25BF" w:rsidRPr="008A25BF" w:rsidRDefault="008A25BF" w:rsidP="008A25BF">
      <w:pPr>
        <w:tabs>
          <w:tab w:val="left" w:pos="1740"/>
        </w:tabs>
        <w:rPr>
          <w:lang w:val="en-GB" w:eastAsia="ja-JP"/>
        </w:rPr>
        <w:sectPr w:rsidR="008A25BF" w:rsidRPr="008A25BF" w:rsidSect="00C473A5">
          <w:headerReference w:type="even" r:id="rId22"/>
          <w:footerReference w:type="default" r:id="rId23"/>
          <w:footnotePr>
            <w:numRestart w:val="eachSect"/>
          </w:footnotePr>
          <w:pgSz w:w="16840" w:h="11907" w:orient="landscape" w:code="9"/>
          <w:pgMar w:top="1134" w:right="1418" w:bottom="1134" w:left="1134" w:header="680" w:footer="567" w:gutter="0"/>
          <w:cols w:space="720"/>
          <w:docGrid w:linePitch="272"/>
        </w:sectPr>
      </w:pPr>
    </w:p>
    <w:p w14:paraId="37EB5693" w14:textId="77777777" w:rsidR="00C01F33" w:rsidRPr="00CE0424" w:rsidRDefault="00C01F33" w:rsidP="00BB3509">
      <w:pPr>
        <w:pStyle w:val="Heading1"/>
        <w:pBdr>
          <w:top w:val="single" w:sz="12" w:space="0" w:color="auto"/>
        </w:pBdr>
        <w:ind w:left="0" w:firstLine="0"/>
      </w:pPr>
      <w:r w:rsidRPr="00CE0424">
        <w:lastRenderedPageBreak/>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9B72B59" w14:textId="77777777" w:rsidR="00A97BEF" w:rsidRDefault="006F6582">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10423385" w:history="1">
        <w:r w:rsidR="00A97BEF" w:rsidRPr="00A878EA">
          <w:rPr>
            <w:rStyle w:val="Hyperlink"/>
            <w:rFonts w:cs="Arial"/>
            <w:noProof/>
          </w:rPr>
          <w:t>Observation 1</w:t>
        </w:r>
        <w:r w:rsidR="00A97BEF">
          <w:rPr>
            <w:rFonts w:asciiTheme="minorHAnsi" w:eastAsiaTheme="minorEastAsia" w:hAnsiTheme="minorHAnsi"/>
            <w:b w:val="0"/>
            <w:noProof/>
            <w:kern w:val="2"/>
            <w:sz w:val="24"/>
            <w:szCs w:val="24"/>
            <w:lang w:val="en-SE"/>
            <w14:ligatures w14:val="standardContextual"/>
          </w:rPr>
          <w:tab/>
        </w:r>
        <w:r w:rsidR="00A97BEF" w:rsidRPr="00A878EA">
          <w:rPr>
            <w:rStyle w:val="Hyperlink"/>
            <w:rFonts w:cs="Arial"/>
            <w:noProof/>
          </w:rPr>
          <w:t>A more realistic approach could be a parameterized roll-off model for ρ(f), where correlation declines progressively from 1 inside the carrier to 0 far outside.</w:t>
        </w:r>
      </w:hyperlink>
    </w:p>
    <w:p w14:paraId="6306D743" w14:textId="77777777" w:rsidR="00A97BEF" w:rsidRDefault="00A97BEF">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0423386" w:history="1">
        <w:r w:rsidRPr="00A878EA">
          <w:rPr>
            <w:rStyle w:val="Hyperlink"/>
            <w:rFonts w:cs="Arial"/>
            <w:noProof/>
          </w:rPr>
          <w:t>Observation 2</w:t>
        </w:r>
        <w:r>
          <w:rPr>
            <w:rFonts w:asciiTheme="minorHAnsi" w:eastAsiaTheme="minorEastAsia" w:hAnsiTheme="minorHAnsi"/>
            <w:b w:val="0"/>
            <w:noProof/>
            <w:kern w:val="2"/>
            <w:sz w:val="24"/>
            <w:szCs w:val="24"/>
            <w:lang w:val="en-SE"/>
            <w14:ligatures w14:val="standardContextual"/>
          </w:rPr>
          <w:tab/>
        </w:r>
        <w:r w:rsidRPr="00A878EA">
          <w:rPr>
            <w:rStyle w:val="Hyperlink"/>
            <w:rFonts w:cs="Arial"/>
            <w:noProof/>
          </w:rPr>
          <w:t>The combined effects of wavelength mismatch, reduced antenna efficiency and incoherent nature of the integer multiples of the fundamental frequency eliminate the possibility for the antenna array to achieve full array gain.</w:t>
        </w:r>
      </w:hyperlink>
    </w:p>
    <w:p w14:paraId="5F69EC0F" w14:textId="187D0EB1"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3AE7A63" w14:textId="15A56F4F" w:rsidR="00A97BEF" w:rsidRDefault="006E1C82">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10423387" w:history="1">
        <w:r w:rsidR="00A97BEF" w:rsidRPr="00492CC6">
          <w:rPr>
            <w:rStyle w:val="Hyperlink"/>
            <w:noProof/>
          </w:rPr>
          <w:t>Proposal 1</w:t>
        </w:r>
        <w:r w:rsidR="00A97BEF">
          <w:rPr>
            <w:rFonts w:asciiTheme="minorHAnsi" w:eastAsiaTheme="minorEastAsia" w:hAnsiTheme="minorHAnsi"/>
            <w:b w:val="0"/>
            <w:noProof/>
            <w:kern w:val="2"/>
            <w:sz w:val="24"/>
            <w:szCs w:val="24"/>
            <w:lang w:val="en-SE"/>
            <w14:ligatures w14:val="standardContextual"/>
          </w:rPr>
          <w:tab/>
        </w:r>
        <w:r w:rsidR="00A97BEF" w:rsidRPr="00492CC6">
          <w:rPr>
            <w:rStyle w:val="Hyperlink"/>
            <w:noProof/>
          </w:rPr>
          <w:t>Further clarification is needed on the assumption of the additional 3 dB polarization gain, which we interpret from previous studies primarily intended for the serving link and not the interfering link.</w:t>
        </w:r>
      </w:hyperlink>
    </w:p>
    <w:p w14:paraId="6799FAC2" w14:textId="0A25BAF7" w:rsidR="00A97BEF" w:rsidRDefault="00A97BEF">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0423388" w:history="1">
        <w:r w:rsidRPr="00492CC6">
          <w:rPr>
            <w:rStyle w:val="Hyperlink"/>
            <w:noProof/>
          </w:rPr>
          <w:t>Proposal 2</w:t>
        </w:r>
        <w:r>
          <w:rPr>
            <w:rFonts w:asciiTheme="minorHAnsi" w:eastAsiaTheme="minorEastAsia" w:hAnsiTheme="minorHAnsi"/>
            <w:b w:val="0"/>
            <w:noProof/>
            <w:kern w:val="2"/>
            <w:sz w:val="24"/>
            <w:szCs w:val="24"/>
            <w:lang w:val="en-SE"/>
            <w14:ligatures w14:val="standardContextual"/>
          </w:rPr>
          <w:tab/>
        </w:r>
        <w:r w:rsidRPr="00492CC6">
          <w:rPr>
            <w:rStyle w:val="Hyperlink"/>
            <w:noProof/>
          </w:rPr>
          <w:t>RAN4 needs to agree on an appropriate correlation factor ρ(f) that effectively balances the trade-off in modeling the coherence of unwanted emissions.</w:t>
        </w:r>
      </w:hyperlink>
    </w:p>
    <w:p w14:paraId="1935D9AB" w14:textId="72F2026F" w:rsidR="00A97BEF" w:rsidRDefault="00A97BEF">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0423389" w:history="1">
        <w:r w:rsidRPr="00492CC6">
          <w:rPr>
            <w:rStyle w:val="Hyperlink"/>
            <w:noProof/>
          </w:rPr>
          <w:t>Proposal 3</w:t>
        </w:r>
        <w:r>
          <w:rPr>
            <w:rFonts w:asciiTheme="minorHAnsi" w:eastAsiaTheme="minorEastAsia" w:hAnsiTheme="minorHAnsi"/>
            <w:b w:val="0"/>
            <w:noProof/>
            <w:kern w:val="2"/>
            <w:sz w:val="24"/>
            <w:szCs w:val="24"/>
            <w:lang w:val="en-SE"/>
            <w14:ligatures w14:val="standardContextual"/>
          </w:rPr>
          <w:tab/>
        </w:r>
        <w:r w:rsidRPr="00492CC6">
          <w:rPr>
            <w:rStyle w:val="Hyperlink"/>
            <w:noProof/>
          </w:rPr>
          <w:t>RAN4 to keep similar assumption of Rel-99 approach between BSs of different operators - 50% grid shift for BS-to-BS propagation.</w:t>
        </w:r>
      </w:hyperlink>
    </w:p>
    <w:p w14:paraId="41EC2BE5" w14:textId="447CD811" w:rsidR="00A97BEF" w:rsidRDefault="00A97BEF">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0423390" w:history="1">
        <w:r w:rsidRPr="00492CC6">
          <w:rPr>
            <w:rStyle w:val="Hyperlink"/>
            <w:noProof/>
          </w:rPr>
          <w:t>Proposal 4</w:t>
        </w:r>
        <w:r>
          <w:rPr>
            <w:rFonts w:asciiTheme="minorHAnsi" w:eastAsiaTheme="minorEastAsia" w:hAnsiTheme="minorHAnsi"/>
            <w:b w:val="0"/>
            <w:noProof/>
            <w:kern w:val="2"/>
            <w:sz w:val="24"/>
            <w:szCs w:val="24"/>
            <w:lang w:val="en-SE"/>
            <w14:ligatures w14:val="standardContextual"/>
          </w:rPr>
          <w:tab/>
        </w:r>
        <w:r w:rsidRPr="00492CC6">
          <w:rPr>
            <w:rStyle w:val="Hyperlink"/>
            <w:noProof/>
          </w:rPr>
          <w:t>RAN4 to discuss the percentile on the Coupling Loss CDF curves, instead of the minimum value.</w:t>
        </w:r>
      </w:hyperlink>
    </w:p>
    <w:p w14:paraId="747C743C" w14:textId="1C5CC191" w:rsidR="006E1C82" w:rsidRPr="00CE0424" w:rsidRDefault="006E1C82" w:rsidP="006E1C82">
      <w:pPr>
        <w:pStyle w:val="BodyText"/>
        <w:rPr>
          <w:b/>
          <w:bCs/>
        </w:rPr>
      </w:pPr>
      <w:r>
        <w:rPr>
          <w:b/>
          <w:bCs/>
        </w:rPr>
        <w:fldChar w:fldCharType="end"/>
      </w:r>
      <w:r w:rsidRPr="00CE0424">
        <w:rPr>
          <w:b/>
          <w:bCs/>
        </w:rPr>
        <w:t xml:space="preserve"> </w:t>
      </w:r>
    </w:p>
    <w:p w14:paraId="6584278B" w14:textId="77777777" w:rsidR="008E065E" w:rsidRPr="00CE0424" w:rsidRDefault="008E065E" w:rsidP="008E065E">
      <w:pPr>
        <w:rPr>
          <w:b/>
          <w:bCs/>
        </w:rPr>
      </w:pPr>
    </w:p>
    <w:p w14:paraId="19EDE22E" w14:textId="77777777" w:rsidR="008E065E" w:rsidRPr="00CE0424" w:rsidRDefault="008E065E" w:rsidP="008E065E">
      <w:pPr>
        <w:rPr>
          <w:b/>
          <w:bCs/>
        </w:rPr>
      </w:pPr>
    </w:p>
    <w:p w14:paraId="560ABAA7" w14:textId="77777777" w:rsidR="00AB0BC8" w:rsidRPr="00CE0424" w:rsidRDefault="00AB0BC8" w:rsidP="00A04F49">
      <w:pPr>
        <w:rPr>
          <w:b/>
          <w:bCs/>
        </w:rPr>
      </w:pPr>
    </w:p>
    <w:p w14:paraId="74A77E7E" w14:textId="77777777" w:rsidR="00311702" w:rsidRPr="00CE0424" w:rsidRDefault="00311702" w:rsidP="00AB0BC8"/>
    <w:p w14:paraId="58ACA235" w14:textId="77777777" w:rsidR="00C01F33" w:rsidRPr="00CE0424" w:rsidRDefault="00C01F33" w:rsidP="006E062C"/>
    <w:p w14:paraId="71D79D99" w14:textId="77777777" w:rsidR="00F507D1" w:rsidRPr="00CE0424" w:rsidRDefault="00F507D1" w:rsidP="00CE0424">
      <w:pPr>
        <w:pStyle w:val="Heading1"/>
      </w:pPr>
      <w:bookmarkStart w:id="11" w:name="_In-sequence_SDU_delivery"/>
      <w:bookmarkEnd w:id="11"/>
      <w:r w:rsidRPr="00CE0424">
        <w:t>References</w:t>
      </w:r>
    </w:p>
    <w:p w14:paraId="466FFADF" w14:textId="77777777" w:rsidR="00DD6041" w:rsidRPr="00BC4ADE" w:rsidRDefault="00DD6041" w:rsidP="00DD6041">
      <w:pPr>
        <w:ind w:left="709" w:hanging="709"/>
      </w:pPr>
      <w:r w:rsidRPr="00BC4ADE">
        <w:rPr>
          <w:lang w:val="en-IN"/>
        </w:rPr>
        <w:t>[1]</w:t>
      </w:r>
      <w:r w:rsidRPr="00BC4ADE">
        <w:rPr>
          <w:lang w:val="en-IN"/>
        </w:rPr>
        <w:tab/>
      </w:r>
      <w:r w:rsidRPr="00BC4ADE">
        <w:t>RP-242432, “Transmitter spurious emissions: co-existence requirement limits for high frequency bands”, ETSI TC MSG/TFES</w:t>
      </w:r>
    </w:p>
    <w:p w14:paraId="50F80B9C" w14:textId="667119BC" w:rsidR="00DD6041" w:rsidRPr="00BC4ADE" w:rsidRDefault="00DD6041" w:rsidP="00DD6041">
      <w:pPr>
        <w:ind w:left="709" w:hanging="709"/>
      </w:pPr>
      <w:r w:rsidRPr="00BC4ADE">
        <w:lastRenderedPageBreak/>
        <w:t>[2]</w:t>
      </w:r>
      <w:r w:rsidR="009D01FA">
        <w:tab/>
      </w:r>
      <w:r w:rsidRPr="00BC4ADE">
        <w:t>R4-242447, “Reply LS to ETSI MSG TFES on Tx spurious emissions: co-existence requirements limits for high frequency bands”, Huawei</w:t>
      </w:r>
    </w:p>
    <w:p w14:paraId="4D954372" w14:textId="78BC9356" w:rsidR="00E85786" w:rsidRDefault="00DD6041" w:rsidP="00ED5603">
      <w:pPr>
        <w:ind w:left="567" w:hanging="567"/>
      </w:pPr>
      <w:r w:rsidRPr="00BC4ADE">
        <w:t>[3]</w:t>
      </w:r>
      <w:r w:rsidRPr="00BC4ADE">
        <w:tab/>
        <w:t xml:space="preserve"> </w:t>
      </w:r>
      <w:r w:rsidR="004D1DBD">
        <w:t xml:space="preserve">  </w:t>
      </w:r>
      <w:r w:rsidRPr="00BC4ADE">
        <w:t>R4-2418396, “On the topic of the need to reevaluate requirement levels for BS transmitter co-existence spurious emission for bands in upper region of FR1”, Ericsson</w:t>
      </w:r>
    </w:p>
    <w:p w14:paraId="12507C48" w14:textId="110A4677" w:rsidR="00C979A9" w:rsidRPr="009D01FA" w:rsidRDefault="00C979A9" w:rsidP="00ED5603">
      <w:pPr>
        <w:ind w:left="567" w:hanging="567"/>
        <w:rPr>
          <w:lang w:val="en-IN"/>
        </w:rPr>
      </w:pPr>
      <w:r>
        <w:t>[4]</w:t>
      </w:r>
      <w:r>
        <w:tab/>
      </w:r>
      <w:r w:rsidR="004D1DBD">
        <w:t xml:space="preserve">   </w:t>
      </w:r>
      <w:r w:rsidR="00EB7BBA">
        <w:t>R4-2512578, “Way Forward on Tx spur co-ex”, RAN4#116</w:t>
      </w:r>
    </w:p>
    <w:sectPr w:rsidR="00C979A9" w:rsidRPr="009D01FA"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BE2D5" w14:textId="77777777" w:rsidR="00681B82" w:rsidRDefault="00681B82">
      <w:r>
        <w:separator/>
      </w:r>
    </w:p>
  </w:endnote>
  <w:endnote w:type="continuationSeparator" w:id="0">
    <w:p w14:paraId="7F496ED0" w14:textId="77777777" w:rsidR="00681B82" w:rsidRDefault="00681B82">
      <w:r>
        <w:continuationSeparator/>
      </w:r>
    </w:p>
  </w:endnote>
  <w:endnote w:type="continuationNotice" w:id="1">
    <w:p w14:paraId="3F98036B" w14:textId="77777777" w:rsidR="00681B82" w:rsidRDefault="00681B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F613C" w14:textId="523AA246" w:rsidR="218516B6" w:rsidRDefault="218516B6" w:rsidP="218516B6">
    <w:pPr>
      <w:pStyle w:val="Footer"/>
      <w:tabs>
        <w:tab w:val="center" w:pos="4820"/>
        <w:tab w:val="right" w:pos="9639"/>
      </w:tabs>
      <w:jc w:val="left"/>
      <w:rPr>
        <w:rStyle w:val="PageNumber"/>
      </w:rPr>
    </w:pPr>
  </w:p>
  <w:p w14:paraId="210D9A79" w14:textId="71EFA5F4" w:rsidR="36ECE934" w:rsidRDefault="36ECE934" w:rsidP="36ECE934">
    <w:pPr>
      <w:pStyle w:val="Footer"/>
      <w:tabs>
        <w:tab w:val="center" w:pos="4820"/>
        <w:tab w:val="right" w:pos="9639"/>
      </w:tabs>
      <w:jc w:val="left"/>
      <w:rPr>
        <w:rStyle w:val="PageNumber"/>
      </w:rPr>
    </w:pPr>
  </w:p>
  <w:p w14:paraId="2070977B" w14:textId="77777777" w:rsidR="007B0E68" w:rsidRDefault="007B0E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2A322" w14:textId="77777777" w:rsidR="00681B82" w:rsidRDefault="00681B82">
      <w:r>
        <w:separator/>
      </w:r>
    </w:p>
  </w:footnote>
  <w:footnote w:type="continuationSeparator" w:id="0">
    <w:p w14:paraId="1CBF8FEB" w14:textId="77777777" w:rsidR="00681B82" w:rsidRDefault="00681B82">
      <w:r>
        <w:continuationSeparator/>
      </w:r>
    </w:p>
  </w:footnote>
  <w:footnote w:type="continuationNotice" w:id="1">
    <w:p w14:paraId="47F84341" w14:textId="77777777" w:rsidR="00681B82" w:rsidRDefault="00681B8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37938" w14:textId="77777777" w:rsidR="007B0E68" w:rsidRDefault="007B0E6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EC12BC"/>
    <w:multiLevelType w:val="hybridMultilevel"/>
    <w:tmpl w:val="E73A5A7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2EE6872"/>
    <w:multiLevelType w:val="hybridMultilevel"/>
    <w:tmpl w:val="49B637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3096383"/>
    <w:multiLevelType w:val="hybridMultilevel"/>
    <w:tmpl w:val="E37A449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9CD7E65"/>
    <w:multiLevelType w:val="hybridMultilevel"/>
    <w:tmpl w:val="723E49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3F8F018D"/>
    <w:multiLevelType w:val="hybridMultilevel"/>
    <w:tmpl w:val="40CEA1AA"/>
    <w:lvl w:ilvl="0" w:tplc="2ED85A14">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DB4076"/>
    <w:multiLevelType w:val="multilevel"/>
    <w:tmpl w:val="4D4E3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5E27B38"/>
    <w:multiLevelType w:val="hybridMultilevel"/>
    <w:tmpl w:val="887ED66A"/>
    <w:lvl w:ilvl="0" w:tplc="E564B9BA">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E913D6A"/>
    <w:multiLevelType w:val="hybridMultilevel"/>
    <w:tmpl w:val="B22002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039477760">
    <w:abstractNumId w:val="3"/>
  </w:num>
  <w:num w:numId="2" w16cid:durableId="612589158">
    <w:abstractNumId w:val="21"/>
  </w:num>
  <w:num w:numId="3" w16cid:durableId="306980384">
    <w:abstractNumId w:val="15"/>
  </w:num>
  <w:num w:numId="4" w16cid:durableId="1281106036">
    <w:abstractNumId w:val="16"/>
  </w:num>
  <w:num w:numId="5" w16cid:durableId="1163201158">
    <w:abstractNumId w:val="12"/>
  </w:num>
  <w:num w:numId="6" w16cid:durableId="1408923696">
    <w:abstractNumId w:val="20"/>
  </w:num>
  <w:num w:numId="7" w16cid:durableId="1179008256">
    <w:abstractNumId w:val="26"/>
  </w:num>
  <w:num w:numId="8" w16cid:durableId="1208487669">
    <w:abstractNumId w:val="13"/>
  </w:num>
  <w:num w:numId="9" w16cid:durableId="441193806">
    <w:abstractNumId w:val="11"/>
  </w:num>
  <w:num w:numId="10" w16cid:durableId="197395227">
    <w:abstractNumId w:val="2"/>
  </w:num>
  <w:num w:numId="11" w16cid:durableId="772286470">
    <w:abstractNumId w:val="1"/>
  </w:num>
  <w:num w:numId="12" w16cid:durableId="118646644">
    <w:abstractNumId w:val="0"/>
  </w:num>
  <w:num w:numId="13" w16cid:durableId="1234126590">
    <w:abstractNumId w:val="22"/>
  </w:num>
  <w:num w:numId="14" w16cid:durableId="873545494">
    <w:abstractNumId w:val="23"/>
  </w:num>
  <w:num w:numId="15" w16cid:durableId="1774671500">
    <w:abstractNumId w:val="18"/>
  </w:num>
  <w:num w:numId="16" w16cid:durableId="643198309">
    <w:abstractNumId w:val="27"/>
  </w:num>
  <w:num w:numId="17" w16cid:durableId="1123499674">
    <w:abstractNumId w:val="9"/>
  </w:num>
  <w:num w:numId="18" w16cid:durableId="1727336654">
    <w:abstractNumId w:val="10"/>
  </w:num>
  <w:num w:numId="19" w16cid:durableId="442459511">
    <w:abstractNumId w:val="5"/>
  </w:num>
  <w:num w:numId="20" w16cid:durableId="1759791952">
    <w:abstractNumId w:val="30"/>
  </w:num>
  <w:num w:numId="21" w16cid:durableId="127937149">
    <w:abstractNumId w:val="14"/>
  </w:num>
  <w:num w:numId="22" w16cid:durableId="1946840461">
    <w:abstractNumId w:val="29"/>
  </w:num>
  <w:num w:numId="23" w16cid:durableId="263880042">
    <w:abstractNumId w:val="17"/>
  </w:num>
  <w:num w:numId="24" w16cid:durableId="1932158495">
    <w:abstractNumId w:val="6"/>
  </w:num>
  <w:num w:numId="25" w16cid:durableId="1469518415">
    <w:abstractNumId w:val="4"/>
  </w:num>
  <w:num w:numId="26" w16cid:durableId="557788832">
    <w:abstractNumId w:val="28"/>
  </w:num>
  <w:num w:numId="27" w16cid:durableId="1431467866">
    <w:abstractNumId w:val="19"/>
  </w:num>
  <w:num w:numId="28" w16cid:durableId="923300504">
    <w:abstractNumId w:val="25"/>
  </w:num>
  <w:num w:numId="29" w16cid:durableId="1902403917">
    <w:abstractNumId w:val="8"/>
  </w:num>
  <w:num w:numId="30" w16cid:durableId="1508592215">
    <w:abstractNumId w:val="24"/>
  </w:num>
  <w:num w:numId="31" w16cid:durableId="198674088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089"/>
    <w:rsid w:val="00002A37"/>
    <w:rsid w:val="0000564C"/>
    <w:rsid w:val="00006446"/>
    <w:rsid w:val="00006896"/>
    <w:rsid w:val="00007CDC"/>
    <w:rsid w:val="00011B28"/>
    <w:rsid w:val="00015D15"/>
    <w:rsid w:val="0001665E"/>
    <w:rsid w:val="0002564D"/>
    <w:rsid w:val="00025ECA"/>
    <w:rsid w:val="000300F0"/>
    <w:rsid w:val="000325B8"/>
    <w:rsid w:val="00034C15"/>
    <w:rsid w:val="00035052"/>
    <w:rsid w:val="00036BA1"/>
    <w:rsid w:val="000405FE"/>
    <w:rsid w:val="000422E2"/>
    <w:rsid w:val="00042F22"/>
    <w:rsid w:val="000435B1"/>
    <w:rsid w:val="000444EF"/>
    <w:rsid w:val="00052040"/>
    <w:rsid w:val="00052A07"/>
    <w:rsid w:val="000534E3"/>
    <w:rsid w:val="0005606A"/>
    <w:rsid w:val="00056F40"/>
    <w:rsid w:val="00057117"/>
    <w:rsid w:val="000616E7"/>
    <w:rsid w:val="0006487E"/>
    <w:rsid w:val="00065E1A"/>
    <w:rsid w:val="00070569"/>
    <w:rsid w:val="00077E5F"/>
    <w:rsid w:val="0008036A"/>
    <w:rsid w:val="00081AE6"/>
    <w:rsid w:val="000855EB"/>
    <w:rsid w:val="00085B52"/>
    <w:rsid w:val="000866F2"/>
    <w:rsid w:val="0009009F"/>
    <w:rsid w:val="00091557"/>
    <w:rsid w:val="000924C1"/>
    <w:rsid w:val="000924F0"/>
    <w:rsid w:val="00093474"/>
    <w:rsid w:val="00093D55"/>
    <w:rsid w:val="0009510F"/>
    <w:rsid w:val="00095C49"/>
    <w:rsid w:val="00096793"/>
    <w:rsid w:val="000A1B7B"/>
    <w:rsid w:val="000A3108"/>
    <w:rsid w:val="000A56F2"/>
    <w:rsid w:val="000B1FC4"/>
    <w:rsid w:val="000B2719"/>
    <w:rsid w:val="000B3A8F"/>
    <w:rsid w:val="000B4AB9"/>
    <w:rsid w:val="000B58C3"/>
    <w:rsid w:val="000B61E9"/>
    <w:rsid w:val="000C165A"/>
    <w:rsid w:val="000C1EEC"/>
    <w:rsid w:val="000C2E19"/>
    <w:rsid w:val="000C44DB"/>
    <w:rsid w:val="000D0B8F"/>
    <w:rsid w:val="000D0D07"/>
    <w:rsid w:val="000D132A"/>
    <w:rsid w:val="000D4797"/>
    <w:rsid w:val="000E0527"/>
    <w:rsid w:val="000E1E92"/>
    <w:rsid w:val="000F06D6"/>
    <w:rsid w:val="000F0EB1"/>
    <w:rsid w:val="000F1106"/>
    <w:rsid w:val="000F2072"/>
    <w:rsid w:val="000F3BE9"/>
    <w:rsid w:val="000F3F6C"/>
    <w:rsid w:val="000F5931"/>
    <w:rsid w:val="000F6DF3"/>
    <w:rsid w:val="001005FF"/>
    <w:rsid w:val="001016DE"/>
    <w:rsid w:val="001062FB"/>
    <w:rsid w:val="001063E6"/>
    <w:rsid w:val="00113CF4"/>
    <w:rsid w:val="00114F76"/>
    <w:rsid w:val="001153EA"/>
    <w:rsid w:val="00115643"/>
    <w:rsid w:val="00116765"/>
    <w:rsid w:val="001219F5"/>
    <w:rsid w:val="00121A20"/>
    <w:rsid w:val="0012377F"/>
    <w:rsid w:val="00124314"/>
    <w:rsid w:val="00126B4A"/>
    <w:rsid w:val="001270C6"/>
    <w:rsid w:val="00132FD0"/>
    <w:rsid w:val="001344C0"/>
    <w:rsid w:val="001346FA"/>
    <w:rsid w:val="00135252"/>
    <w:rsid w:val="00136E0A"/>
    <w:rsid w:val="0013754F"/>
    <w:rsid w:val="00137AB5"/>
    <w:rsid w:val="00137F0B"/>
    <w:rsid w:val="001411E3"/>
    <w:rsid w:val="00151E23"/>
    <w:rsid w:val="001526E0"/>
    <w:rsid w:val="001551B5"/>
    <w:rsid w:val="001554F1"/>
    <w:rsid w:val="00161EA3"/>
    <w:rsid w:val="00162001"/>
    <w:rsid w:val="001659C1"/>
    <w:rsid w:val="00173A8E"/>
    <w:rsid w:val="0017502C"/>
    <w:rsid w:val="0018143F"/>
    <w:rsid w:val="00181FF8"/>
    <w:rsid w:val="00186A9A"/>
    <w:rsid w:val="00190AC1"/>
    <w:rsid w:val="0019341A"/>
    <w:rsid w:val="0019353A"/>
    <w:rsid w:val="00197DF9"/>
    <w:rsid w:val="001A1987"/>
    <w:rsid w:val="001A2564"/>
    <w:rsid w:val="001A3DEB"/>
    <w:rsid w:val="001A6173"/>
    <w:rsid w:val="001A6CBA"/>
    <w:rsid w:val="001B0D97"/>
    <w:rsid w:val="001B5A5D"/>
    <w:rsid w:val="001C1CE5"/>
    <w:rsid w:val="001C3D2A"/>
    <w:rsid w:val="001D2FD0"/>
    <w:rsid w:val="001D310A"/>
    <w:rsid w:val="001D51BA"/>
    <w:rsid w:val="001D53E7"/>
    <w:rsid w:val="001D6342"/>
    <w:rsid w:val="001D695A"/>
    <w:rsid w:val="001D6D53"/>
    <w:rsid w:val="001E0270"/>
    <w:rsid w:val="001E0DE4"/>
    <w:rsid w:val="001E58E2"/>
    <w:rsid w:val="001E7AED"/>
    <w:rsid w:val="001F3916"/>
    <w:rsid w:val="001F54C5"/>
    <w:rsid w:val="001F662C"/>
    <w:rsid w:val="001F7074"/>
    <w:rsid w:val="001F7E1F"/>
    <w:rsid w:val="00200490"/>
    <w:rsid w:val="00201BA1"/>
    <w:rsid w:val="00201F3A"/>
    <w:rsid w:val="00202BBF"/>
    <w:rsid w:val="00202C77"/>
    <w:rsid w:val="00203F96"/>
    <w:rsid w:val="002069B2"/>
    <w:rsid w:val="00207FA3"/>
    <w:rsid w:val="00210D00"/>
    <w:rsid w:val="00214DA8"/>
    <w:rsid w:val="00215423"/>
    <w:rsid w:val="002158FA"/>
    <w:rsid w:val="00217D7C"/>
    <w:rsid w:val="00220600"/>
    <w:rsid w:val="002224DB"/>
    <w:rsid w:val="00223FCB"/>
    <w:rsid w:val="00224AC0"/>
    <w:rsid w:val="002252C3"/>
    <w:rsid w:val="00225C54"/>
    <w:rsid w:val="00227272"/>
    <w:rsid w:val="00230765"/>
    <w:rsid w:val="00230A31"/>
    <w:rsid w:val="00230D18"/>
    <w:rsid w:val="00230F94"/>
    <w:rsid w:val="002319E4"/>
    <w:rsid w:val="00235632"/>
    <w:rsid w:val="00235872"/>
    <w:rsid w:val="00235BE2"/>
    <w:rsid w:val="00241559"/>
    <w:rsid w:val="002435B3"/>
    <w:rsid w:val="002458EB"/>
    <w:rsid w:val="0024727D"/>
    <w:rsid w:val="002500C8"/>
    <w:rsid w:val="00257543"/>
    <w:rsid w:val="002617E7"/>
    <w:rsid w:val="002634DD"/>
    <w:rsid w:val="00264228"/>
    <w:rsid w:val="00264334"/>
    <w:rsid w:val="0026473E"/>
    <w:rsid w:val="00266214"/>
    <w:rsid w:val="00267C83"/>
    <w:rsid w:val="0027144F"/>
    <w:rsid w:val="00271813"/>
    <w:rsid w:val="00271F3A"/>
    <w:rsid w:val="002721DE"/>
    <w:rsid w:val="00273278"/>
    <w:rsid w:val="002737F4"/>
    <w:rsid w:val="00274A80"/>
    <w:rsid w:val="00275D21"/>
    <w:rsid w:val="002803A4"/>
    <w:rsid w:val="002805F5"/>
    <w:rsid w:val="00280751"/>
    <w:rsid w:val="0028280A"/>
    <w:rsid w:val="00286ACD"/>
    <w:rsid w:val="00287838"/>
    <w:rsid w:val="002907B5"/>
    <w:rsid w:val="002922B8"/>
    <w:rsid w:val="00292EB7"/>
    <w:rsid w:val="0029369A"/>
    <w:rsid w:val="00296227"/>
    <w:rsid w:val="00296F44"/>
    <w:rsid w:val="0029777D"/>
    <w:rsid w:val="002A055E"/>
    <w:rsid w:val="002A1D4E"/>
    <w:rsid w:val="002A2869"/>
    <w:rsid w:val="002A4890"/>
    <w:rsid w:val="002A578E"/>
    <w:rsid w:val="002B0309"/>
    <w:rsid w:val="002B14AC"/>
    <w:rsid w:val="002B24D6"/>
    <w:rsid w:val="002C16B0"/>
    <w:rsid w:val="002C41E6"/>
    <w:rsid w:val="002D071A"/>
    <w:rsid w:val="002D34B2"/>
    <w:rsid w:val="002D3711"/>
    <w:rsid w:val="002D3922"/>
    <w:rsid w:val="002D48B0"/>
    <w:rsid w:val="002D5B37"/>
    <w:rsid w:val="002D7637"/>
    <w:rsid w:val="002E083A"/>
    <w:rsid w:val="002E14E9"/>
    <w:rsid w:val="002E17F2"/>
    <w:rsid w:val="002E4712"/>
    <w:rsid w:val="002E7CAE"/>
    <w:rsid w:val="002F034C"/>
    <w:rsid w:val="002F13E4"/>
    <w:rsid w:val="002F2771"/>
    <w:rsid w:val="002F2779"/>
    <w:rsid w:val="002F37A9"/>
    <w:rsid w:val="002F3A83"/>
    <w:rsid w:val="002FDFAA"/>
    <w:rsid w:val="00301CE6"/>
    <w:rsid w:val="0030256B"/>
    <w:rsid w:val="0030501F"/>
    <w:rsid w:val="0030544C"/>
    <w:rsid w:val="00307BA1"/>
    <w:rsid w:val="00311702"/>
    <w:rsid w:val="00311E82"/>
    <w:rsid w:val="00313910"/>
    <w:rsid w:val="00313FD6"/>
    <w:rsid w:val="003143BD"/>
    <w:rsid w:val="003143E4"/>
    <w:rsid w:val="00315363"/>
    <w:rsid w:val="003203ED"/>
    <w:rsid w:val="00322C9F"/>
    <w:rsid w:val="00324D23"/>
    <w:rsid w:val="00331751"/>
    <w:rsid w:val="00334579"/>
    <w:rsid w:val="00335858"/>
    <w:rsid w:val="00336BDA"/>
    <w:rsid w:val="00340B9F"/>
    <w:rsid w:val="00342BD7"/>
    <w:rsid w:val="003431B1"/>
    <w:rsid w:val="00346DB5"/>
    <w:rsid w:val="003477B1"/>
    <w:rsid w:val="00357380"/>
    <w:rsid w:val="003602D9"/>
    <w:rsid w:val="003604CE"/>
    <w:rsid w:val="00370E47"/>
    <w:rsid w:val="003742AC"/>
    <w:rsid w:val="00377CE1"/>
    <w:rsid w:val="00385847"/>
    <w:rsid w:val="00385BF0"/>
    <w:rsid w:val="00385F60"/>
    <w:rsid w:val="003868DC"/>
    <w:rsid w:val="003939FF"/>
    <w:rsid w:val="003A2223"/>
    <w:rsid w:val="003A2A0F"/>
    <w:rsid w:val="003A45A1"/>
    <w:rsid w:val="003A5B0A"/>
    <w:rsid w:val="003A6BAC"/>
    <w:rsid w:val="003A70A4"/>
    <w:rsid w:val="003A7EF3"/>
    <w:rsid w:val="003B159C"/>
    <w:rsid w:val="003B369F"/>
    <w:rsid w:val="003B36A3"/>
    <w:rsid w:val="003B64BB"/>
    <w:rsid w:val="003B7844"/>
    <w:rsid w:val="003B79C9"/>
    <w:rsid w:val="003B7FE5"/>
    <w:rsid w:val="003C11C8"/>
    <w:rsid w:val="003C2702"/>
    <w:rsid w:val="003C7806"/>
    <w:rsid w:val="003D01A1"/>
    <w:rsid w:val="003D109F"/>
    <w:rsid w:val="003D2478"/>
    <w:rsid w:val="003D3C45"/>
    <w:rsid w:val="003D5B1F"/>
    <w:rsid w:val="003E0E4C"/>
    <w:rsid w:val="003E15FA"/>
    <w:rsid w:val="003E55E4"/>
    <w:rsid w:val="003E74E3"/>
    <w:rsid w:val="003F05C7"/>
    <w:rsid w:val="003F2CD4"/>
    <w:rsid w:val="003F6BBE"/>
    <w:rsid w:val="004000E8"/>
    <w:rsid w:val="004003E0"/>
    <w:rsid w:val="00401520"/>
    <w:rsid w:val="00402E2B"/>
    <w:rsid w:val="004050B3"/>
    <w:rsid w:val="0040512B"/>
    <w:rsid w:val="00405CA5"/>
    <w:rsid w:val="00407CD3"/>
    <w:rsid w:val="00410134"/>
    <w:rsid w:val="00410B72"/>
    <w:rsid w:val="00410F18"/>
    <w:rsid w:val="0041263E"/>
    <w:rsid w:val="00413AAC"/>
    <w:rsid w:val="00413E92"/>
    <w:rsid w:val="00415C2B"/>
    <w:rsid w:val="00420976"/>
    <w:rsid w:val="00421105"/>
    <w:rsid w:val="00422AA4"/>
    <w:rsid w:val="004242F4"/>
    <w:rsid w:val="00427248"/>
    <w:rsid w:val="00431DFC"/>
    <w:rsid w:val="00434571"/>
    <w:rsid w:val="00434C70"/>
    <w:rsid w:val="00435DEF"/>
    <w:rsid w:val="00437447"/>
    <w:rsid w:val="00441A92"/>
    <w:rsid w:val="004431DC"/>
    <w:rsid w:val="00444303"/>
    <w:rsid w:val="00444F56"/>
    <w:rsid w:val="00446488"/>
    <w:rsid w:val="004517AA"/>
    <w:rsid w:val="00451930"/>
    <w:rsid w:val="00452CAC"/>
    <w:rsid w:val="00455D72"/>
    <w:rsid w:val="00457565"/>
    <w:rsid w:val="00457B71"/>
    <w:rsid w:val="00463F25"/>
    <w:rsid w:val="00464689"/>
    <w:rsid w:val="004669E2"/>
    <w:rsid w:val="00467975"/>
    <w:rsid w:val="00470C31"/>
    <w:rsid w:val="0047116E"/>
    <w:rsid w:val="00471DE0"/>
    <w:rsid w:val="004734D0"/>
    <w:rsid w:val="0047556B"/>
    <w:rsid w:val="00477679"/>
    <w:rsid w:val="00477768"/>
    <w:rsid w:val="00480181"/>
    <w:rsid w:val="0048614B"/>
    <w:rsid w:val="00492BC5"/>
    <w:rsid w:val="004964F1"/>
    <w:rsid w:val="004A16BC"/>
    <w:rsid w:val="004A2B94"/>
    <w:rsid w:val="004A54EF"/>
    <w:rsid w:val="004B2450"/>
    <w:rsid w:val="004B6F6A"/>
    <w:rsid w:val="004B7C0C"/>
    <w:rsid w:val="004C3898"/>
    <w:rsid w:val="004C58AF"/>
    <w:rsid w:val="004D1DBD"/>
    <w:rsid w:val="004D2502"/>
    <w:rsid w:val="004D36B1"/>
    <w:rsid w:val="004D3897"/>
    <w:rsid w:val="004D5F87"/>
    <w:rsid w:val="004D7EBD"/>
    <w:rsid w:val="004E2680"/>
    <w:rsid w:val="004E28F9"/>
    <w:rsid w:val="004E462E"/>
    <w:rsid w:val="004E518C"/>
    <w:rsid w:val="004E56DC"/>
    <w:rsid w:val="004E76F4"/>
    <w:rsid w:val="004F0B4E"/>
    <w:rsid w:val="004F0B6C"/>
    <w:rsid w:val="004F2078"/>
    <w:rsid w:val="004F4DA3"/>
    <w:rsid w:val="004F5146"/>
    <w:rsid w:val="00506557"/>
    <w:rsid w:val="0050677A"/>
    <w:rsid w:val="00506D9F"/>
    <w:rsid w:val="0050718F"/>
    <w:rsid w:val="005108D8"/>
    <w:rsid w:val="005116F9"/>
    <w:rsid w:val="005126DA"/>
    <w:rsid w:val="005153A7"/>
    <w:rsid w:val="005219CF"/>
    <w:rsid w:val="005267B4"/>
    <w:rsid w:val="005325AB"/>
    <w:rsid w:val="005325E0"/>
    <w:rsid w:val="00534B59"/>
    <w:rsid w:val="00536759"/>
    <w:rsid w:val="00537C62"/>
    <w:rsid w:val="0054284C"/>
    <w:rsid w:val="00546970"/>
    <w:rsid w:val="005500EE"/>
    <w:rsid w:val="00554E19"/>
    <w:rsid w:val="0055592D"/>
    <w:rsid w:val="00560E3D"/>
    <w:rsid w:val="0056121F"/>
    <w:rsid w:val="0056280A"/>
    <w:rsid w:val="0056308F"/>
    <w:rsid w:val="00572505"/>
    <w:rsid w:val="0057463D"/>
    <w:rsid w:val="00580726"/>
    <w:rsid w:val="00581E66"/>
    <w:rsid w:val="00582809"/>
    <w:rsid w:val="00583BDA"/>
    <w:rsid w:val="0058798C"/>
    <w:rsid w:val="005900FA"/>
    <w:rsid w:val="005935A4"/>
    <w:rsid w:val="005948C2"/>
    <w:rsid w:val="00595DCA"/>
    <w:rsid w:val="0059779B"/>
    <w:rsid w:val="005A209A"/>
    <w:rsid w:val="005A281A"/>
    <w:rsid w:val="005A5766"/>
    <w:rsid w:val="005A662D"/>
    <w:rsid w:val="005B1409"/>
    <w:rsid w:val="005B2E78"/>
    <w:rsid w:val="005B35D7"/>
    <w:rsid w:val="005B392A"/>
    <w:rsid w:val="005B3AA3"/>
    <w:rsid w:val="005B6F83"/>
    <w:rsid w:val="005C74FB"/>
    <w:rsid w:val="005C79A0"/>
    <w:rsid w:val="005D1602"/>
    <w:rsid w:val="005D5508"/>
    <w:rsid w:val="005D7087"/>
    <w:rsid w:val="005D72DB"/>
    <w:rsid w:val="005E385F"/>
    <w:rsid w:val="005E5B81"/>
    <w:rsid w:val="005F2CB1"/>
    <w:rsid w:val="005F3025"/>
    <w:rsid w:val="005F618C"/>
    <w:rsid w:val="005F70BD"/>
    <w:rsid w:val="0060283C"/>
    <w:rsid w:val="00602E63"/>
    <w:rsid w:val="00604F14"/>
    <w:rsid w:val="00611B83"/>
    <w:rsid w:val="00613257"/>
    <w:rsid w:val="00620A71"/>
    <w:rsid w:val="00620D80"/>
    <w:rsid w:val="006234A6"/>
    <w:rsid w:val="0062521E"/>
    <w:rsid w:val="00630001"/>
    <w:rsid w:val="006311B3"/>
    <w:rsid w:val="0063284C"/>
    <w:rsid w:val="0063529F"/>
    <w:rsid w:val="00636398"/>
    <w:rsid w:val="006368D3"/>
    <w:rsid w:val="0063699A"/>
    <w:rsid w:val="006377EC"/>
    <w:rsid w:val="0064151F"/>
    <w:rsid w:val="00641533"/>
    <w:rsid w:val="0064208D"/>
    <w:rsid w:val="0064211D"/>
    <w:rsid w:val="00643475"/>
    <w:rsid w:val="0064396A"/>
    <w:rsid w:val="0064624E"/>
    <w:rsid w:val="00650AB9"/>
    <w:rsid w:val="00653689"/>
    <w:rsid w:val="006553AE"/>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D8D"/>
    <w:rsid w:val="006741F2"/>
    <w:rsid w:val="00674CC3"/>
    <w:rsid w:val="00675C72"/>
    <w:rsid w:val="006771F9"/>
    <w:rsid w:val="006776D7"/>
    <w:rsid w:val="00680170"/>
    <w:rsid w:val="00681003"/>
    <w:rsid w:val="006817C9"/>
    <w:rsid w:val="00681B82"/>
    <w:rsid w:val="00683ECE"/>
    <w:rsid w:val="00687C39"/>
    <w:rsid w:val="00692A5B"/>
    <w:rsid w:val="00695FC2"/>
    <w:rsid w:val="00696949"/>
    <w:rsid w:val="00697052"/>
    <w:rsid w:val="006A0858"/>
    <w:rsid w:val="006A2D15"/>
    <w:rsid w:val="006A46FB"/>
    <w:rsid w:val="006A5E28"/>
    <w:rsid w:val="006A697B"/>
    <w:rsid w:val="006A7AFF"/>
    <w:rsid w:val="006B1816"/>
    <w:rsid w:val="006B2099"/>
    <w:rsid w:val="006B50CF"/>
    <w:rsid w:val="006B7CAB"/>
    <w:rsid w:val="006C03B8"/>
    <w:rsid w:val="006C5EC9"/>
    <w:rsid w:val="006C6059"/>
    <w:rsid w:val="006C7522"/>
    <w:rsid w:val="006D4DF5"/>
    <w:rsid w:val="006D6A49"/>
    <w:rsid w:val="006D6F08"/>
    <w:rsid w:val="006E062C"/>
    <w:rsid w:val="006E1C82"/>
    <w:rsid w:val="006E28B7"/>
    <w:rsid w:val="006E2A9B"/>
    <w:rsid w:val="006E3310"/>
    <w:rsid w:val="006E47F0"/>
    <w:rsid w:val="006E4E39"/>
    <w:rsid w:val="006E543E"/>
    <w:rsid w:val="006E565E"/>
    <w:rsid w:val="006E673D"/>
    <w:rsid w:val="006E7D3B"/>
    <w:rsid w:val="006F1B70"/>
    <w:rsid w:val="006F2D9E"/>
    <w:rsid w:val="006F341D"/>
    <w:rsid w:val="006F3CDE"/>
    <w:rsid w:val="006F581A"/>
    <w:rsid w:val="006F58D4"/>
    <w:rsid w:val="006F5D44"/>
    <w:rsid w:val="006F6582"/>
    <w:rsid w:val="0070346E"/>
    <w:rsid w:val="00704EDB"/>
    <w:rsid w:val="00706101"/>
    <w:rsid w:val="00707072"/>
    <w:rsid w:val="00707D61"/>
    <w:rsid w:val="00712287"/>
    <w:rsid w:val="00712772"/>
    <w:rsid w:val="007148D3"/>
    <w:rsid w:val="00715B9A"/>
    <w:rsid w:val="00721B32"/>
    <w:rsid w:val="007257D0"/>
    <w:rsid w:val="00726EA6"/>
    <w:rsid w:val="00727208"/>
    <w:rsid w:val="00727680"/>
    <w:rsid w:val="0073023A"/>
    <w:rsid w:val="007348B1"/>
    <w:rsid w:val="007362A6"/>
    <w:rsid w:val="00736D7D"/>
    <w:rsid w:val="00740E58"/>
    <w:rsid w:val="007411FE"/>
    <w:rsid w:val="007445A0"/>
    <w:rsid w:val="0074524B"/>
    <w:rsid w:val="00747D8B"/>
    <w:rsid w:val="00751228"/>
    <w:rsid w:val="00753454"/>
    <w:rsid w:val="007571E1"/>
    <w:rsid w:val="007604B2"/>
    <w:rsid w:val="00760D8B"/>
    <w:rsid w:val="00765281"/>
    <w:rsid w:val="00766BAD"/>
    <w:rsid w:val="00770BCA"/>
    <w:rsid w:val="00770D80"/>
    <w:rsid w:val="00771D18"/>
    <w:rsid w:val="007729A2"/>
    <w:rsid w:val="007747B3"/>
    <w:rsid w:val="007755F2"/>
    <w:rsid w:val="00776971"/>
    <w:rsid w:val="00776F76"/>
    <w:rsid w:val="007778EC"/>
    <w:rsid w:val="00780A80"/>
    <w:rsid w:val="0078177E"/>
    <w:rsid w:val="00782F8D"/>
    <w:rsid w:val="0078304C"/>
    <w:rsid w:val="00783673"/>
    <w:rsid w:val="00785490"/>
    <w:rsid w:val="00791D18"/>
    <w:rsid w:val="007925EA"/>
    <w:rsid w:val="00793CD8"/>
    <w:rsid w:val="00794552"/>
    <w:rsid w:val="00795C92"/>
    <w:rsid w:val="00796231"/>
    <w:rsid w:val="0079657D"/>
    <w:rsid w:val="00797173"/>
    <w:rsid w:val="007A1CB3"/>
    <w:rsid w:val="007A306F"/>
    <w:rsid w:val="007A43A6"/>
    <w:rsid w:val="007A44B6"/>
    <w:rsid w:val="007A58A6"/>
    <w:rsid w:val="007B0E68"/>
    <w:rsid w:val="007B23C8"/>
    <w:rsid w:val="007B3D2D"/>
    <w:rsid w:val="007B50AE"/>
    <w:rsid w:val="007B51DF"/>
    <w:rsid w:val="007C05DD"/>
    <w:rsid w:val="007C0E5D"/>
    <w:rsid w:val="007C3D18"/>
    <w:rsid w:val="007C418B"/>
    <w:rsid w:val="007C60BF"/>
    <w:rsid w:val="007C6A07"/>
    <w:rsid w:val="007C75A1"/>
    <w:rsid w:val="007C77A5"/>
    <w:rsid w:val="007D04E5"/>
    <w:rsid w:val="007D3548"/>
    <w:rsid w:val="007D4EC7"/>
    <w:rsid w:val="007D5901"/>
    <w:rsid w:val="007D7526"/>
    <w:rsid w:val="007E0F65"/>
    <w:rsid w:val="007E2DB5"/>
    <w:rsid w:val="007E4610"/>
    <w:rsid w:val="007E4715"/>
    <w:rsid w:val="007E505B"/>
    <w:rsid w:val="007E7091"/>
    <w:rsid w:val="007E79EC"/>
    <w:rsid w:val="007F6C23"/>
    <w:rsid w:val="00803FAE"/>
    <w:rsid w:val="0080605F"/>
    <w:rsid w:val="00807786"/>
    <w:rsid w:val="00810868"/>
    <w:rsid w:val="00811544"/>
    <w:rsid w:val="00811852"/>
    <w:rsid w:val="00811FCB"/>
    <w:rsid w:val="008158D6"/>
    <w:rsid w:val="00817196"/>
    <w:rsid w:val="008235DB"/>
    <w:rsid w:val="00824AB4"/>
    <w:rsid w:val="00825C42"/>
    <w:rsid w:val="00825D25"/>
    <w:rsid w:val="00827D6F"/>
    <w:rsid w:val="0083626E"/>
    <w:rsid w:val="008363AC"/>
    <w:rsid w:val="008376AC"/>
    <w:rsid w:val="00837FCB"/>
    <w:rsid w:val="00841994"/>
    <w:rsid w:val="008444E8"/>
    <w:rsid w:val="00844E80"/>
    <w:rsid w:val="00846FE7"/>
    <w:rsid w:val="00852F71"/>
    <w:rsid w:val="00854D0A"/>
    <w:rsid w:val="00856911"/>
    <w:rsid w:val="0086181B"/>
    <w:rsid w:val="00863753"/>
    <w:rsid w:val="008677FD"/>
    <w:rsid w:val="008706D4"/>
    <w:rsid w:val="00870F8A"/>
    <w:rsid w:val="008719A4"/>
    <w:rsid w:val="00871D23"/>
    <w:rsid w:val="00874312"/>
    <w:rsid w:val="0087437C"/>
    <w:rsid w:val="00875CD7"/>
    <w:rsid w:val="00876B4D"/>
    <w:rsid w:val="00877F18"/>
    <w:rsid w:val="00884288"/>
    <w:rsid w:val="008941E3"/>
    <w:rsid w:val="00894A88"/>
    <w:rsid w:val="00895386"/>
    <w:rsid w:val="008A21FF"/>
    <w:rsid w:val="008A25BF"/>
    <w:rsid w:val="008A2CE2"/>
    <w:rsid w:val="008A30AC"/>
    <w:rsid w:val="008A44B8"/>
    <w:rsid w:val="008A51A8"/>
    <w:rsid w:val="008A54C7"/>
    <w:rsid w:val="008A5ADE"/>
    <w:rsid w:val="008A6FDC"/>
    <w:rsid w:val="008A77D8"/>
    <w:rsid w:val="008B0483"/>
    <w:rsid w:val="008B120C"/>
    <w:rsid w:val="008B51A0"/>
    <w:rsid w:val="008B592A"/>
    <w:rsid w:val="008B7B5C"/>
    <w:rsid w:val="008C0C99"/>
    <w:rsid w:val="008C1B0D"/>
    <w:rsid w:val="008C2017"/>
    <w:rsid w:val="008C4958"/>
    <w:rsid w:val="008C4BAA"/>
    <w:rsid w:val="008C6AE8"/>
    <w:rsid w:val="008C6D21"/>
    <w:rsid w:val="008C7573"/>
    <w:rsid w:val="008D00A5"/>
    <w:rsid w:val="008D1C25"/>
    <w:rsid w:val="008D34F1"/>
    <w:rsid w:val="008D39D8"/>
    <w:rsid w:val="008D6D1A"/>
    <w:rsid w:val="008E065E"/>
    <w:rsid w:val="008E0927"/>
    <w:rsid w:val="008E0C60"/>
    <w:rsid w:val="008E1909"/>
    <w:rsid w:val="008E2F17"/>
    <w:rsid w:val="008E565A"/>
    <w:rsid w:val="008E7236"/>
    <w:rsid w:val="008F1C4E"/>
    <w:rsid w:val="008F1EAB"/>
    <w:rsid w:val="008F2FE2"/>
    <w:rsid w:val="008F33DC"/>
    <w:rsid w:val="008F477F"/>
    <w:rsid w:val="008F4CD4"/>
    <w:rsid w:val="008F61D5"/>
    <w:rsid w:val="00902350"/>
    <w:rsid w:val="0090336B"/>
    <w:rsid w:val="009053AA"/>
    <w:rsid w:val="00906939"/>
    <w:rsid w:val="00910B7D"/>
    <w:rsid w:val="00911DFB"/>
    <w:rsid w:val="00912249"/>
    <w:rsid w:val="009139D9"/>
    <w:rsid w:val="00914AD8"/>
    <w:rsid w:val="00916079"/>
    <w:rsid w:val="00917CE9"/>
    <w:rsid w:val="0092075B"/>
    <w:rsid w:val="00920BF2"/>
    <w:rsid w:val="00922010"/>
    <w:rsid w:val="00923315"/>
    <w:rsid w:val="00923CEB"/>
    <w:rsid w:val="00924BAC"/>
    <w:rsid w:val="00931BD9"/>
    <w:rsid w:val="009368F3"/>
    <w:rsid w:val="00941636"/>
    <w:rsid w:val="00943742"/>
    <w:rsid w:val="00945C05"/>
    <w:rsid w:val="00946945"/>
    <w:rsid w:val="00947713"/>
    <w:rsid w:val="00950DE7"/>
    <w:rsid w:val="009531E6"/>
    <w:rsid w:val="00953920"/>
    <w:rsid w:val="00953D47"/>
    <w:rsid w:val="0095681E"/>
    <w:rsid w:val="009572D4"/>
    <w:rsid w:val="00960D22"/>
    <w:rsid w:val="00961921"/>
    <w:rsid w:val="0096430A"/>
    <w:rsid w:val="0096554B"/>
    <w:rsid w:val="0096584A"/>
    <w:rsid w:val="00966F8C"/>
    <w:rsid w:val="00971F08"/>
    <w:rsid w:val="009737AE"/>
    <w:rsid w:val="0097603D"/>
    <w:rsid w:val="00976949"/>
    <w:rsid w:val="00980477"/>
    <w:rsid w:val="00982ADB"/>
    <w:rsid w:val="00982F22"/>
    <w:rsid w:val="00985253"/>
    <w:rsid w:val="009853B3"/>
    <w:rsid w:val="00985BE5"/>
    <w:rsid w:val="00987502"/>
    <w:rsid w:val="00990630"/>
    <w:rsid w:val="00991761"/>
    <w:rsid w:val="00994DCA"/>
    <w:rsid w:val="009952F8"/>
    <w:rsid w:val="009960EC"/>
    <w:rsid w:val="009970DD"/>
    <w:rsid w:val="009A0B59"/>
    <w:rsid w:val="009A0FBA"/>
    <w:rsid w:val="009A1601"/>
    <w:rsid w:val="009A3BB6"/>
    <w:rsid w:val="009A462D"/>
    <w:rsid w:val="009A5CBA"/>
    <w:rsid w:val="009A61F6"/>
    <w:rsid w:val="009A666E"/>
    <w:rsid w:val="009B1F30"/>
    <w:rsid w:val="009B3AC2"/>
    <w:rsid w:val="009B4DF4"/>
    <w:rsid w:val="009B5172"/>
    <w:rsid w:val="009B564E"/>
    <w:rsid w:val="009B7760"/>
    <w:rsid w:val="009B7E87"/>
    <w:rsid w:val="009C0001"/>
    <w:rsid w:val="009C0169"/>
    <w:rsid w:val="009C3176"/>
    <w:rsid w:val="009C3B7E"/>
    <w:rsid w:val="009C403E"/>
    <w:rsid w:val="009D01FA"/>
    <w:rsid w:val="009D3ED2"/>
    <w:rsid w:val="009D4BB7"/>
    <w:rsid w:val="009D4FF0"/>
    <w:rsid w:val="009D703C"/>
    <w:rsid w:val="009D718F"/>
    <w:rsid w:val="009E068F"/>
    <w:rsid w:val="009E14E0"/>
    <w:rsid w:val="009E35DB"/>
    <w:rsid w:val="009E47A3"/>
    <w:rsid w:val="009F0707"/>
    <w:rsid w:val="009F08F3"/>
    <w:rsid w:val="009F344F"/>
    <w:rsid w:val="00A031D8"/>
    <w:rsid w:val="00A048A8"/>
    <w:rsid w:val="00A04D53"/>
    <w:rsid w:val="00A04F49"/>
    <w:rsid w:val="00A07417"/>
    <w:rsid w:val="00A10664"/>
    <w:rsid w:val="00A12D76"/>
    <w:rsid w:val="00A13E54"/>
    <w:rsid w:val="00A1751D"/>
    <w:rsid w:val="00A17881"/>
    <w:rsid w:val="00A17F63"/>
    <w:rsid w:val="00A2193B"/>
    <w:rsid w:val="00A22C62"/>
    <w:rsid w:val="00A2351A"/>
    <w:rsid w:val="00A264A9"/>
    <w:rsid w:val="00A26DCF"/>
    <w:rsid w:val="00A27785"/>
    <w:rsid w:val="00A30187"/>
    <w:rsid w:val="00A3448A"/>
    <w:rsid w:val="00A36297"/>
    <w:rsid w:val="00A41582"/>
    <w:rsid w:val="00A41E2B"/>
    <w:rsid w:val="00A45B74"/>
    <w:rsid w:val="00A52E1D"/>
    <w:rsid w:val="00A55912"/>
    <w:rsid w:val="00A61499"/>
    <w:rsid w:val="00A62644"/>
    <w:rsid w:val="00A62A77"/>
    <w:rsid w:val="00A63483"/>
    <w:rsid w:val="00A657D7"/>
    <w:rsid w:val="00A660AC"/>
    <w:rsid w:val="00A67E6C"/>
    <w:rsid w:val="00A71B99"/>
    <w:rsid w:val="00A739D0"/>
    <w:rsid w:val="00A761D4"/>
    <w:rsid w:val="00A77EC4"/>
    <w:rsid w:val="00A87A1E"/>
    <w:rsid w:val="00A92879"/>
    <w:rsid w:val="00A92D32"/>
    <w:rsid w:val="00A93291"/>
    <w:rsid w:val="00A9442A"/>
    <w:rsid w:val="00A97BEF"/>
    <w:rsid w:val="00AA016F"/>
    <w:rsid w:val="00AA1ED6"/>
    <w:rsid w:val="00AA3F43"/>
    <w:rsid w:val="00AA45A5"/>
    <w:rsid w:val="00AA51D6"/>
    <w:rsid w:val="00AB0BC8"/>
    <w:rsid w:val="00AB11CA"/>
    <w:rsid w:val="00AB14D9"/>
    <w:rsid w:val="00AB1795"/>
    <w:rsid w:val="00AB3B6D"/>
    <w:rsid w:val="00AB4AB8"/>
    <w:rsid w:val="00AB655E"/>
    <w:rsid w:val="00AB684B"/>
    <w:rsid w:val="00AC007F"/>
    <w:rsid w:val="00AC2ECD"/>
    <w:rsid w:val="00AC3119"/>
    <w:rsid w:val="00AC49FB"/>
    <w:rsid w:val="00AC53D6"/>
    <w:rsid w:val="00AC5A10"/>
    <w:rsid w:val="00AD0AA3"/>
    <w:rsid w:val="00AD2ED0"/>
    <w:rsid w:val="00AD39CE"/>
    <w:rsid w:val="00AD3F94"/>
    <w:rsid w:val="00AD4A5A"/>
    <w:rsid w:val="00AE0CA4"/>
    <w:rsid w:val="00AE27AC"/>
    <w:rsid w:val="00AE3EB7"/>
    <w:rsid w:val="00AE40E0"/>
    <w:rsid w:val="00AE4101"/>
    <w:rsid w:val="00AE4DBA"/>
    <w:rsid w:val="00AE4F07"/>
    <w:rsid w:val="00AE7635"/>
    <w:rsid w:val="00AF1C5D"/>
    <w:rsid w:val="00AF3384"/>
    <w:rsid w:val="00AF42D7"/>
    <w:rsid w:val="00B006FE"/>
    <w:rsid w:val="00B007CB"/>
    <w:rsid w:val="00B01C15"/>
    <w:rsid w:val="00B02AA9"/>
    <w:rsid w:val="00B02FA3"/>
    <w:rsid w:val="00B05084"/>
    <w:rsid w:val="00B13889"/>
    <w:rsid w:val="00B14B64"/>
    <w:rsid w:val="00B157F9"/>
    <w:rsid w:val="00B20256"/>
    <w:rsid w:val="00B20D09"/>
    <w:rsid w:val="00B25CDF"/>
    <w:rsid w:val="00B2757F"/>
    <w:rsid w:val="00B2763F"/>
    <w:rsid w:val="00B27AAC"/>
    <w:rsid w:val="00B30929"/>
    <w:rsid w:val="00B312B7"/>
    <w:rsid w:val="00B359A4"/>
    <w:rsid w:val="00B372AA"/>
    <w:rsid w:val="00B40445"/>
    <w:rsid w:val="00B409E0"/>
    <w:rsid w:val="00B41888"/>
    <w:rsid w:val="00B45A52"/>
    <w:rsid w:val="00B46175"/>
    <w:rsid w:val="00B46DE3"/>
    <w:rsid w:val="00B548B7"/>
    <w:rsid w:val="00B55403"/>
    <w:rsid w:val="00B56C52"/>
    <w:rsid w:val="00B60676"/>
    <w:rsid w:val="00B664C7"/>
    <w:rsid w:val="00B713D8"/>
    <w:rsid w:val="00B739F6"/>
    <w:rsid w:val="00B74BDB"/>
    <w:rsid w:val="00B773FC"/>
    <w:rsid w:val="00B81A6C"/>
    <w:rsid w:val="00B85083"/>
    <w:rsid w:val="00B85DE5"/>
    <w:rsid w:val="00B90F73"/>
    <w:rsid w:val="00B92CC9"/>
    <w:rsid w:val="00B93B59"/>
    <w:rsid w:val="00B9406A"/>
    <w:rsid w:val="00B96F63"/>
    <w:rsid w:val="00BA2280"/>
    <w:rsid w:val="00BA2A08"/>
    <w:rsid w:val="00BA53BC"/>
    <w:rsid w:val="00BA5559"/>
    <w:rsid w:val="00BA56D2"/>
    <w:rsid w:val="00BA76E0"/>
    <w:rsid w:val="00BB0CA4"/>
    <w:rsid w:val="00BB170E"/>
    <w:rsid w:val="00BB2A25"/>
    <w:rsid w:val="00BB3509"/>
    <w:rsid w:val="00BB51E9"/>
    <w:rsid w:val="00BC0FDC"/>
    <w:rsid w:val="00BC180E"/>
    <w:rsid w:val="00BC3053"/>
    <w:rsid w:val="00BC4D2E"/>
    <w:rsid w:val="00BC724F"/>
    <w:rsid w:val="00BD0128"/>
    <w:rsid w:val="00BD48AC"/>
    <w:rsid w:val="00BD5F1A"/>
    <w:rsid w:val="00BE1234"/>
    <w:rsid w:val="00BE2FA6"/>
    <w:rsid w:val="00BE333F"/>
    <w:rsid w:val="00BE4219"/>
    <w:rsid w:val="00BE7406"/>
    <w:rsid w:val="00BE7603"/>
    <w:rsid w:val="00BF03C4"/>
    <w:rsid w:val="00BF3279"/>
    <w:rsid w:val="00BF74C7"/>
    <w:rsid w:val="00C015F1"/>
    <w:rsid w:val="00C01F33"/>
    <w:rsid w:val="00C02CC6"/>
    <w:rsid w:val="00C03E2B"/>
    <w:rsid w:val="00C040F7"/>
    <w:rsid w:val="00C044AB"/>
    <w:rsid w:val="00C05706"/>
    <w:rsid w:val="00C07377"/>
    <w:rsid w:val="00C10478"/>
    <w:rsid w:val="00C12107"/>
    <w:rsid w:val="00C14D4B"/>
    <w:rsid w:val="00C154BB"/>
    <w:rsid w:val="00C16D3A"/>
    <w:rsid w:val="00C200D1"/>
    <w:rsid w:val="00C247D0"/>
    <w:rsid w:val="00C279B5"/>
    <w:rsid w:val="00C27C45"/>
    <w:rsid w:val="00C3719D"/>
    <w:rsid w:val="00C37CB2"/>
    <w:rsid w:val="00C40632"/>
    <w:rsid w:val="00C42522"/>
    <w:rsid w:val="00C473A5"/>
    <w:rsid w:val="00C5438F"/>
    <w:rsid w:val="00C54995"/>
    <w:rsid w:val="00C549A9"/>
    <w:rsid w:val="00C54D41"/>
    <w:rsid w:val="00C60783"/>
    <w:rsid w:val="00C64672"/>
    <w:rsid w:val="00C70697"/>
    <w:rsid w:val="00C71EA9"/>
    <w:rsid w:val="00C72093"/>
    <w:rsid w:val="00C72EF4"/>
    <w:rsid w:val="00C744FE"/>
    <w:rsid w:val="00C75D2F"/>
    <w:rsid w:val="00C767BE"/>
    <w:rsid w:val="00C76E3C"/>
    <w:rsid w:val="00C77AA6"/>
    <w:rsid w:val="00C81568"/>
    <w:rsid w:val="00C9027A"/>
    <w:rsid w:val="00C9068E"/>
    <w:rsid w:val="00C91AA5"/>
    <w:rsid w:val="00C93814"/>
    <w:rsid w:val="00C93C4B"/>
    <w:rsid w:val="00C944AB"/>
    <w:rsid w:val="00C95B40"/>
    <w:rsid w:val="00C979A9"/>
    <w:rsid w:val="00CA1ED8"/>
    <w:rsid w:val="00CB1185"/>
    <w:rsid w:val="00CB1F63"/>
    <w:rsid w:val="00CB2CE9"/>
    <w:rsid w:val="00CB7170"/>
    <w:rsid w:val="00CC040E"/>
    <w:rsid w:val="00CC111F"/>
    <w:rsid w:val="00CC2011"/>
    <w:rsid w:val="00CC3EA0"/>
    <w:rsid w:val="00CC5F3C"/>
    <w:rsid w:val="00CC7B45"/>
    <w:rsid w:val="00CD076E"/>
    <w:rsid w:val="00CD1188"/>
    <w:rsid w:val="00CD2ED1"/>
    <w:rsid w:val="00CD3311"/>
    <w:rsid w:val="00CD337B"/>
    <w:rsid w:val="00CD3762"/>
    <w:rsid w:val="00CE0424"/>
    <w:rsid w:val="00CE0BA4"/>
    <w:rsid w:val="00CE729E"/>
    <w:rsid w:val="00CE7561"/>
    <w:rsid w:val="00CF1354"/>
    <w:rsid w:val="00CF3B1F"/>
    <w:rsid w:val="00CF3BF6"/>
    <w:rsid w:val="00CF625B"/>
    <w:rsid w:val="00CF687E"/>
    <w:rsid w:val="00CF7FFE"/>
    <w:rsid w:val="00D02927"/>
    <w:rsid w:val="00D0349B"/>
    <w:rsid w:val="00D07C89"/>
    <w:rsid w:val="00D10249"/>
    <w:rsid w:val="00D115C3"/>
    <w:rsid w:val="00D11897"/>
    <w:rsid w:val="00D13135"/>
    <w:rsid w:val="00D13C29"/>
    <w:rsid w:val="00D13E4E"/>
    <w:rsid w:val="00D239A7"/>
    <w:rsid w:val="00D23F47"/>
    <w:rsid w:val="00D311B5"/>
    <w:rsid w:val="00D36E71"/>
    <w:rsid w:val="00D37D87"/>
    <w:rsid w:val="00D40B33"/>
    <w:rsid w:val="00D4318F"/>
    <w:rsid w:val="00D438BF"/>
    <w:rsid w:val="00D440F8"/>
    <w:rsid w:val="00D546FF"/>
    <w:rsid w:val="00D54F36"/>
    <w:rsid w:val="00D55AD5"/>
    <w:rsid w:val="00D576CA"/>
    <w:rsid w:val="00D6072C"/>
    <w:rsid w:val="00D61AF5"/>
    <w:rsid w:val="00D63E61"/>
    <w:rsid w:val="00D652B5"/>
    <w:rsid w:val="00D66155"/>
    <w:rsid w:val="00D676B0"/>
    <w:rsid w:val="00D708B0"/>
    <w:rsid w:val="00D714B2"/>
    <w:rsid w:val="00D77B1D"/>
    <w:rsid w:val="00D8021F"/>
    <w:rsid w:val="00D80383"/>
    <w:rsid w:val="00D823C6"/>
    <w:rsid w:val="00D8327F"/>
    <w:rsid w:val="00D842F4"/>
    <w:rsid w:val="00D8460B"/>
    <w:rsid w:val="00D86CA3"/>
    <w:rsid w:val="00D871CE"/>
    <w:rsid w:val="00D9196D"/>
    <w:rsid w:val="00D92982"/>
    <w:rsid w:val="00D964EB"/>
    <w:rsid w:val="00D97EE5"/>
    <w:rsid w:val="00DA305E"/>
    <w:rsid w:val="00DA5417"/>
    <w:rsid w:val="00DA56E8"/>
    <w:rsid w:val="00DB0A9F"/>
    <w:rsid w:val="00DB377D"/>
    <w:rsid w:val="00DC2D36"/>
    <w:rsid w:val="00DC53EF"/>
    <w:rsid w:val="00DD6041"/>
    <w:rsid w:val="00DD75A4"/>
    <w:rsid w:val="00DD7B73"/>
    <w:rsid w:val="00DE05DE"/>
    <w:rsid w:val="00DE2924"/>
    <w:rsid w:val="00DE5608"/>
    <w:rsid w:val="00DE58D0"/>
    <w:rsid w:val="00DE654F"/>
    <w:rsid w:val="00DF0B6E"/>
    <w:rsid w:val="00DF15E0"/>
    <w:rsid w:val="00DF1809"/>
    <w:rsid w:val="00DF37A0"/>
    <w:rsid w:val="00DF5E49"/>
    <w:rsid w:val="00DF7CB1"/>
    <w:rsid w:val="00E110E7"/>
    <w:rsid w:val="00E11B20"/>
    <w:rsid w:val="00E17872"/>
    <w:rsid w:val="00E17FA2"/>
    <w:rsid w:val="00E20AAB"/>
    <w:rsid w:val="00E22330"/>
    <w:rsid w:val="00E230A8"/>
    <w:rsid w:val="00E30B5A"/>
    <w:rsid w:val="00E3123D"/>
    <w:rsid w:val="00E31461"/>
    <w:rsid w:val="00E31D43"/>
    <w:rsid w:val="00E32608"/>
    <w:rsid w:val="00E34188"/>
    <w:rsid w:val="00E34B6E"/>
    <w:rsid w:val="00E35559"/>
    <w:rsid w:val="00E362A3"/>
    <w:rsid w:val="00E3723A"/>
    <w:rsid w:val="00E37860"/>
    <w:rsid w:val="00E41918"/>
    <w:rsid w:val="00E446F1"/>
    <w:rsid w:val="00E46886"/>
    <w:rsid w:val="00E47AEF"/>
    <w:rsid w:val="00E52154"/>
    <w:rsid w:val="00E53B75"/>
    <w:rsid w:val="00E54E3B"/>
    <w:rsid w:val="00E55722"/>
    <w:rsid w:val="00E57565"/>
    <w:rsid w:val="00E63838"/>
    <w:rsid w:val="00E64434"/>
    <w:rsid w:val="00E64F16"/>
    <w:rsid w:val="00E67114"/>
    <w:rsid w:val="00E67C51"/>
    <w:rsid w:val="00E67E7C"/>
    <w:rsid w:val="00E71A16"/>
    <w:rsid w:val="00E72EFC"/>
    <w:rsid w:val="00E758EC"/>
    <w:rsid w:val="00E8234C"/>
    <w:rsid w:val="00E839A7"/>
    <w:rsid w:val="00E83AA9"/>
    <w:rsid w:val="00E85786"/>
    <w:rsid w:val="00E85928"/>
    <w:rsid w:val="00E85FFC"/>
    <w:rsid w:val="00E87822"/>
    <w:rsid w:val="00E90395"/>
    <w:rsid w:val="00E90E49"/>
    <w:rsid w:val="00E917F9"/>
    <w:rsid w:val="00E9291C"/>
    <w:rsid w:val="00E93FFE"/>
    <w:rsid w:val="00E94352"/>
    <w:rsid w:val="00E94F8A"/>
    <w:rsid w:val="00EA191A"/>
    <w:rsid w:val="00EA282A"/>
    <w:rsid w:val="00EA3F1B"/>
    <w:rsid w:val="00EA7A41"/>
    <w:rsid w:val="00EB077B"/>
    <w:rsid w:val="00EB4EA2"/>
    <w:rsid w:val="00EB7BBA"/>
    <w:rsid w:val="00EC13E7"/>
    <w:rsid w:val="00EC24D5"/>
    <w:rsid w:val="00EC27C6"/>
    <w:rsid w:val="00EC4207"/>
    <w:rsid w:val="00EC5031"/>
    <w:rsid w:val="00EC5653"/>
    <w:rsid w:val="00EC71CE"/>
    <w:rsid w:val="00ED1006"/>
    <w:rsid w:val="00ED5603"/>
    <w:rsid w:val="00EE0822"/>
    <w:rsid w:val="00EF18FE"/>
    <w:rsid w:val="00EF3234"/>
    <w:rsid w:val="00EF5787"/>
    <w:rsid w:val="00EF60D0"/>
    <w:rsid w:val="00F049D7"/>
    <w:rsid w:val="00F0528D"/>
    <w:rsid w:val="00F06C67"/>
    <w:rsid w:val="00F06DFD"/>
    <w:rsid w:val="00F071D1"/>
    <w:rsid w:val="00F07533"/>
    <w:rsid w:val="00F10629"/>
    <w:rsid w:val="00F11086"/>
    <w:rsid w:val="00F15FA5"/>
    <w:rsid w:val="00F209B7"/>
    <w:rsid w:val="00F2376F"/>
    <w:rsid w:val="00F23B1A"/>
    <w:rsid w:val="00F243D8"/>
    <w:rsid w:val="00F258D6"/>
    <w:rsid w:val="00F30828"/>
    <w:rsid w:val="00F313D6"/>
    <w:rsid w:val="00F3203A"/>
    <w:rsid w:val="00F34F3D"/>
    <w:rsid w:val="00F40F0C"/>
    <w:rsid w:val="00F4766C"/>
    <w:rsid w:val="00F5060E"/>
    <w:rsid w:val="00F507D1"/>
    <w:rsid w:val="00F519CE"/>
    <w:rsid w:val="00F51ADA"/>
    <w:rsid w:val="00F548F9"/>
    <w:rsid w:val="00F56844"/>
    <w:rsid w:val="00F60203"/>
    <w:rsid w:val="00F60362"/>
    <w:rsid w:val="00F607C5"/>
    <w:rsid w:val="00F60DEA"/>
    <w:rsid w:val="00F6302A"/>
    <w:rsid w:val="00F63950"/>
    <w:rsid w:val="00F64C2B"/>
    <w:rsid w:val="00F651BE"/>
    <w:rsid w:val="00F66AA9"/>
    <w:rsid w:val="00F67F53"/>
    <w:rsid w:val="00F703BE"/>
    <w:rsid w:val="00F71F69"/>
    <w:rsid w:val="00F72B72"/>
    <w:rsid w:val="00F74BB9"/>
    <w:rsid w:val="00F75582"/>
    <w:rsid w:val="00F76EFA"/>
    <w:rsid w:val="00F77E95"/>
    <w:rsid w:val="00F804BE"/>
    <w:rsid w:val="00F817CE"/>
    <w:rsid w:val="00F81E07"/>
    <w:rsid w:val="00F823D8"/>
    <w:rsid w:val="00F84526"/>
    <w:rsid w:val="00F8456C"/>
    <w:rsid w:val="00F859D8"/>
    <w:rsid w:val="00F868F5"/>
    <w:rsid w:val="00F9056A"/>
    <w:rsid w:val="00F90F8D"/>
    <w:rsid w:val="00F92782"/>
    <w:rsid w:val="00F93AA9"/>
    <w:rsid w:val="00F94EB4"/>
    <w:rsid w:val="00F96985"/>
    <w:rsid w:val="00F97787"/>
    <w:rsid w:val="00F97838"/>
    <w:rsid w:val="00FA0D71"/>
    <w:rsid w:val="00FA2BB3"/>
    <w:rsid w:val="00FA675F"/>
    <w:rsid w:val="00FA7B5B"/>
    <w:rsid w:val="00FB4C80"/>
    <w:rsid w:val="00FB630F"/>
    <w:rsid w:val="00FB6A6A"/>
    <w:rsid w:val="00FC7429"/>
    <w:rsid w:val="00FD07F6"/>
    <w:rsid w:val="00FD1EC8"/>
    <w:rsid w:val="00FD47ED"/>
    <w:rsid w:val="00FD74DB"/>
    <w:rsid w:val="00FD7660"/>
    <w:rsid w:val="00FE0655"/>
    <w:rsid w:val="00FE2365"/>
    <w:rsid w:val="00FE37D7"/>
    <w:rsid w:val="00FE4C7B"/>
    <w:rsid w:val="00FE7336"/>
    <w:rsid w:val="00FE787C"/>
    <w:rsid w:val="00FF053A"/>
    <w:rsid w:val="00FF151A"/>
    <w:rsid w:val="00FF1A02"/>
    <w:rsid w:val="00FF45A5"/>
    <w:rsid w:val="00FF5C91"/>
    <w:rsid w:val="00FF645B"/>
    <w:rsid w:val="016C546F"/>
    <w:rsid w:val="01982282"/>
    <w:rsid w:val="01C2C2CC"/>
    <w:rsid w:val="027BB699"/>
    <w:rsid w:val="028AB9EC"/>
    <w:rsid w:val="0339415A"/>
    <w:rsid w:val="038750B6"/>
    <w:rsid w:val="03E402E8"/>
    <w:rsid w:val="045C2F11"/>
    <w:rsid w:val="0491FEA8"/>
    <w:rsid w:val="049A2878"/>
    <w:rsid w:val="04B41ED3"/>
    <w:rsid w:val="0560B7F4"/>
    <w:rsid w:val="058B2CCA"/>
    <w:rsid w:val="061E62B1"/>
    <w:rsid w:val="06398984"/>
    <w:rsid w:val="07869534"/>
    <w:rsid w:val="084918F4"/>
    <w:rsid w:val="089A7679"/>
    <w:rsid w:val="08C8A12A"/>
    <w:rsid w:val="0A06E9B2"/>
    <w:rsid w:val="0A09ADD6"/>
    <w:rsid w:val="0B524BFC"/>
    <w:rsid w:val="0C1835B4"/>
    <w:rsid w:val="0E0DCB71"/>
    <w:rsid w:val="0E2FCC9E"/>
    <w:rsid w:val="0FB89CDE"/>
    <w:rsid w:val="10A89C7A"/>
    <w:rsid w:val="11F42A9E"/>
    <w:rsid w:val="1270E244"/>
    <w:rsid w:val="12778BC0"/>
    <w:rsid w:val="12842CBE"/>
    <w:rsid w:val="1305E788"/>
    <w:rsid w:val="133B478E"/>
    <w:rsid w:val="13D52A15"/>
    <w:rsid w:val="14D9A256"/>
    <w:rsid w:val="150EE9ED"/>
    <w:rsid w:val="15B95CF2"/>
    <w:rsid w:val="161F4B9A"/>
    <w:rsid w:val="1678B8DC"/>
    <w:rsid w:val="16BD7490"/>
    <w:rsid w:val="17985B99"/>
    <w:rsid w:val="18A10B74"/>
    <w:rsid w:val="18AF6D71"/>
    <w:rsid w:val="196E6678"/>
    <w:rsid w:val="19FFEE4F"/>
    <w:rsid w:val="1A17106F"/>
    <w:rsid w:val="1A3FD3D0"/>
    <w:rsid w:val="1A702254"/>
    <w:rsid w:val="1B110F3A"/>
    <w:rsid w:val="1B4B6FD7"/>
    <w:rsid w:val="1B54B5FA"/>
    <w:rsid w:val="1D39887B"/>
    <w:rsid w:val="1D9022BB"/>
    <w:rsid w:val="1DBB7C1D"/>
    <w:rsid w:val="1E0523A1"/>
    <w:rsid w:val="1F7F0A11"/>
    <w:rsid w:val="1F988375"/>
    <w:rsid w:val="1FAED657"/>
    <w:rsid w:val="201E5E7D"/>
    <w:rsid w:val="218516B6"/>
    <w:rsid w:val="2276E957"/>
    <w:rsid w:val="2290F9CB"/>
    <w:rsid w:val="23BE12AB"/>
    <w:rsid w:val="2411331E"/>
    <w:rsid w:val="25009B26"/>
    <w:rsid w:val="25149FF5"/>
    <w:rsid w:val="2577F393"/>
    <w:rsid w:val="262BAD41"/>
    <w:rsid w:val="27883819"/>
    <w:rsid w:val="27B0A24C"/>
    <w:rsid w:val="27E03D22"/>
    <w:rsid w:val="27FDBE7F"/>
    <w:rsid w:val="290B749B"/>
    <w:rsid w:val="2A03A359"/>
    <w:rsid w:val="2A4C1010"/>
    <w:rsid w:val="2C22BBA1"/>
    <w:rsid w:val="2C27ACB8"/>
    <w:rsid w:val="2D22D8A1"/>
    <w:rsid w:val="2D47E057"/>
    <w:rsid w:val="2DFDE3AB"/>
    <w:rsid w:val="2EC92BBD"/>
    <w:rsid w:val="2F3A68E0"/>
    <w:rsid w:val="2F428564"/>
    <w:rsid w:val="2F431A3C"/>
    <w:rsid w:val="2F772B08"/>
    <w:rsid w:val="2FF0D0A7"/>
    <w:rsid w:val="300614D3"/>
    <w:rsid w:val="3026F84D"/>
    <w:rsid w:val="31119DCA"/>
    <w:rsid w:val="32844E4B"/>
    <w:rsid w:val="32BF040B"/>
    <w:rsid w:val="3468D008"/>
    <w:rsid w:val="34B99E77"/>
    <w:rsid w:val="35EFFD67"/>
    <w:rsid w:val="360D984E"/>
    <w:rsid w:val="36ECE934"/>
    <w:rsid w:val="37068A35"/>
    <w:rsid w:val="375B902E"/>
    <w:rsid w:val="378F516D"/>
    <w:rsid w:val="38A23BB8"/>
    <w:rsid w:val="39D1BDBE"/>
    <w:rsid w:val="3A5A5FD1"/>
    <w:rsid w:val="3A9012CA"/>
    <w:rsid w:val="3B19C4B4"/>
    <w:rsid w:val="3C51871F"/>
    <w:rsid w:val="3CCBA2B6"/>
    <w:rsid w:val="3CCC1E30"/>
    <w:rsid w:val="3CEDE332"/>
    <w:rsid w:val="3CF9F158"/>
    <w:rsid w:val="3D71B64D"/>
    <w:rsid w:val="3D76E821"/>
    <w:rsid w:val="3E168E3B"/>
    <w:rsid w:val="3F20B940"/>
    <w:rsid w:val="3F5A8365"/>
    <w:rsid w:val="3F81CF11"/>
    <w:rsid w:val="3FD50754"/>
    <w:rsid w:val="41E2F0A0"/>
    <w:rsid w:val="42AEABEC"/>
    <w:rsid w:val="434EE2B3"/>
    <w:rsid w:val="43DCDE1E"/>
    <w:rsid w:val="4403B167"/>
    <w:rsid w:val="44F01F16"/>
    <w:rsid w:val="46FA4739"/>
    <w:rsid w:val="47B31CF8"/>
    <w:rsid w:val="4902A3C2"/>
    <w:rsid w:val="49069687"/>
    <w:rsid w:val="499B9FA4"/>
    <w:rsid w:val="49FEFC5F"/>
    <w:rsid w:val="4AEBAD0F"/>
    <w:rsid w:val="4B36C66E"/>
    <w:rsid w:val="4B6568F8"/>
    <w:rsid w:val="4B84BE4A"/>
    <w:rsid w:val="4DB1FDE4"/>
    <w:rsid w:val="4E07E869"/>
    <w:rsid w:val="4E195E9E"/>
    <w:rsid w:val="4E80CEED"/>
    <w:rsid w:val="4F069C89"/>
    <w:rsid w:val="4F4D78EC"/>
    <w:rsid w:val="4FB55C2D"/>
    <w:rsid w:val="50429B9C"/>
    <w:rsid w:val="505762BF"/>
    <w:rsid w:val="5064EF38"/>
    <w:rsid w:val="5098D44B"/>
    <w:rsid w:val="50B1AB43"/>
    <w:rsid w:val="51C1B194"/>
    <w:rsid w:val="51D85F4D"/>
    <w:rsid w:val="549D7BDE"/>
    <w:rsid w:val="55258357"/>
    <w:rsid w:val="553001FE"/>
    <w:rsid w:val="571C3D95"/>
    <w:rsid w:val="59CD536F"/>
    <w:rsid w:val="5A388F3C"/>
    <w:rsid w:val="5B7E7A4B"/>
    <w:rsid w:val="5BB1547A"/>
    <w:rsid w:val="5DD3AB5C"/>
    <w:rsid w:val="5E00714B"/>
    <w:rsid w:val="5FE20D2A"/>
    <w:rsid w:val="6061BCE2"/>
    <w:rsid w:val="62607A93"/>
    <w:rsid w:val="62EC7839"/>
    <w:rsid w:val="643DE630"/>
    <w:rsid w:val="653991BB"/>
    <w:rsid w:val="656F73E7"/>
    <w:rsid w:val="66692A72"/>
    <w:rsid w:val="68500983"/>
    <w:rsid w:val="68850F33"/>
    <w:rsid w:val="68F67D9E"/>
    <w:rsid w:val="69A85014"/>
    <w:rsid w:val="69D6E1B5"/>
    <w:rsid w:val="6B04AB46"/>
    <w:rsid w:val="6C64195D"/>
    <w:rsid w:val="6C667F65"/>
    <w:rsid w:val="6C88170B"/>
    <w:rsid w:val="6C94C524"/>
    <w:rsid w:val="6D6428DA"/>
    <w:rsid w:val="6E311BFA"/>
    <w:rsid w:val="6F02555E"/>
    <w:rsid w:val="6F5504FE"/>
    <w:rsid w:val="6F594AE0"/>
    <w:rsid w:val="71872CE5"/>
    <w:rsid w:val="71911F4F"/>
    <w:rsid w:val="72969967"/>
    <w:rsid w:val="73383E5F"/>
    <w:rsid w:val="7463C28B"/>
    <w:rsid w:val="75C548C5"/>
    <w:rsid w:val="77653BC4"/>
    <w:rsid w:val="77E176A9"/>
    <w:rsid w:val="7838AF2E"/>
    <w:rsid w:val="7971CFD6"/>
    <w:rsid w:val="798C3CB7"/>
    <w:rsid w:val="79F1C65C"/>
    <w:rsid w:val="7A4CA176"/>
    <w:rsid w:val="7AC17928"/>
    <w:rsid w:val="7BB0CB98"/>
    <w:rsid w:val="7BD5528A"/>
    <w:rsid w:val="7D028EAD"/>
    <w:rsid w:val="7DCF1FD6"/>
    <w:rsid w:val="7E3737A0"/>
    <w:rsid w:val="7EFCCB7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A265F466-2991-4225-A2DA-7963E652A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qFormat="1"/>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aliases w:val="left"/>
    <w:basedOn w:val="TH"/>
    <w:link w:val="TFChar"/>
    <w:qFormat/>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SGS Table Basic 1"/>
    <w:basedOn w:val="TableNormal"/>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CH">
    <w:name w:val="CH"/>
    <w:basedOn w:val="Normal"/>
    <w:qFormat/>
    <w:rsid w:val="00E64F16"/>
    <w:pPr>
      <w:tabs>
        <w:tab w:val="left" w:pos="2268"/>
        <w:tab w:val="right" w:pos="7920"/>
        <w:tab w:val="right" w:pos="9639"/>
      </w:tabs>
      <w:spacing w:after="0" w:line="240" w:lineRule="auto"/>
    </w:pPr>
    <w:rPr>
      <w:rFonts w:eastAsia="PMingLiU" w:cs="Arial"/>
      <w:b/>
      <w:sz w:val="24"/>
      <w:szCs w:val="20"/>
      <w:lang w:val="en-GB" w:eastAsia="zh-CN"/>
    </w:rPr>
  </w:style>
  <w:style w:type="paragraph" w:styleId="Revision">
    <w:name w:val="Revision"/>
    <w:hidden/>
    <w:uiPriority w:val="99"/>
    <w:semiHidden/>
    <w:rsid w:val="00B55403"/>
    <w:rPr>
      <w:rFonts w:ascii="Arial" w:eastAsiaTheme="minorHAnsi" w:hAnsi="Arial" w:cstheme="minorBidi"/>
      <w:szCs w:val="22"/>
      <w:lang w:val="en-US" w:eastAsia="en-US"/>
    </w:rPr>
  </w:style>
  <w:style w:type="character" w:customStyle="1" w:styleId="TACChar">
    <w:name w:val="TAC Char"/>
    <w:link w:val="TAC"/>
    <w:qFormat/>
    <w:rsid w:val="00E85786"/>
    <w:rPr>
      <w:rFonts w:ascii="Arial" w:eastAsiaTheme="minorHAnsi" w:hAnsi="Arial" w:cstheme="minorBidi"/>
      <w:sz w:val="18"/>
      <w:szCs w:val="22"/>
      <w:lang w:val="x-none" w:eastAsia="x-none"/>
    </w:rPr>
  </w:style>
  <w:style w:type="paragraph" w:styleId="NoSpacing">
    <w:name w:val="No Spacing"/>
    <w:uiPriority w:val="1"/>
    <w:qFormat/>
    <w:rsid w:val="00C200D1"/>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996e197-20bf-40e8-abd7-112b1e98b4eb" xsi:nil="true"/>
    <lcf76f155ced4ddcb4097134ff3c332f xmlns="adec2834-250f-4eaf-ba6c-b97aa154792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A7274E559A63D48B46FFB274D0FDE38" ma:contentTypeVersion="13" ma:contentTypeDescription="Create a new document." ma:contentTypeScope="" ma:versionID="767a53d547e2d7f9d2ef99442fd4cb67">
  <xsd:schema xmlns:xsd="http://www.w3.org/2001/XMLSchema" xmlns:xs="http://www.w3.org/2001/XMLSchema" xmlns:p="http://schemas.microsoft.com/office/2006/metadata/properties" xmlns:ns2="adec2834-250f-4eaf-ba6c-b97aa154792b" xmlns:ns3="4996e197-20bf-40e8-abd7-112b1e98b4eb" targetNamespace="http://schemas.microsoft.com/office/2006/metadata/properties" ma:root="true" ma:fieldsID="07bced82a5efa08a14e6dbfd71c5f8d8" ns2:_="" ns3:_="">
    <xsd:import namespace="adec2834-250f-4eaf-ba6c-b97aa154792b"/>
    <xsd:import namespace="4996e197-20bf-40e8-abd7-112b1e98b4e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c2834-250f-4eaf-ba6c-b97aa15479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996e197-20bf-40e8-abd7-112b1e98b4eb"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d65fd2f-bd4a-4755-b51c-2e24ecf229ce}" ma:internalName="TaxCatchAll" ma:showField="CatchAllData" ma:web="4996e197-20bf-40e8-abd7-112b1e98b4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purl.org/dc/dcmitype/"/>
    <ds:schemaRef ds:uri="http://purl.org/dc/elements/1.1/"/>
    <ds:schemaRef ds:uri="http://schemas.microsoft.com/office/2006/metadata/properties"/>
    <ds:schemaRef ds:uri="http://purl.org/dc/terms/"/>
    <ds:schemaRef ds:uri="http://schemas.microsoft.com/office/2006/documentManagement/types"/>
    <ds:schemaRef ds:uri="adec2834-250f-4eaf-ba6c-b97aa154792b"/>
    <ds:schemaRef ds:uri="http://schemas.microsoft.com/office/infopath/2007/PartnerControls"/>
    <ds:schemaRef ds:uri="http://schemas.openxmlformats.org/package/2006/metadata/core-properties"/>
    <ds:schemaRef ds:uri="4996e197-20bf-40e8-abd7-112b1e98b4eb"/>
    <ds:schemaRef ds:uri="http://www.w3.org/XML/1998/namespace"/>
  </ds:schemaRefs>
</ds:datastoreItem>
</file>

<file path=customXml/itemProps2.xml><?xml version="1.0" encoding="utf-8"?>
<ds:datastoreItem xmlns:ds="http://schemas.openxmlformats.org/officeDocument/2006/customXml" ds:itemID="{8A9DE830-BC8A-40E5-90BD-B16E53D16C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c2834-250f-4eaf-ba6c-b97aa154792b"/>
    <ds:schemaRef ds:uri="4996e197-20bf-40e8-abd7-112b1e98b4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17</Pages>
  <Words>2506</Words>
  <Characters>13750</Characters>
  <Application>Microsoft Office Word</Application>
  <DocSecurity>0</DocSecurity>
  <Lines>114</Lines>
  <Paragraphs>32</Paragraphs>
  <ScaleCrop>false</ScaleCrop>
  <Company>Ericsson</Company>
  <LinksUpToDate>false</LinksUpToDate>
  <CharactersWithSpaces>16224</CharactersWithSpaces>
  <SharedDoc>false</SharedDoc>
  <HLinks>
    <vt:vector size="36" baseType="variant">
      <vt:variant>
        <vt:i4>1179707</vt:i4>
      </vt:variant>
      <vt:variant>
        <vt:i4>20</vt:i4>
      </vt:variant>
      <vt:variant>
        <vt:i4>0</vt:i4>
      </vt:variant>
      <vt:variant>
        <vt:i4>5</vt:i4>
      </vt:variant>
      <vt:variant>
        <vt:lpwstr/>
      </vt:variant>
      <vt:variant>
        <vt:lpwstr>_Toc210406967</vt:lpwstr>
      </vt:variant>
      <vt:variant>
        <vt:i4>1179707</vt:i4>
      </vt:variant>
      <vt:variant>
        <vt:i4>17</vt:i4>
      </vt:variant>
      <vt:variant>
        <vt:i4>0</vt:i4>
      </vt:variant>
      <vt:variant>
        <vt:i4>5</vt:i4>
      </vt:variant>
      <vt:variant>
        <vt:lpwstr/>
      </vt:variant>
      <vt:variant>
        <vt:lpwstr>_Toc210406966</vt:lpwstr>
      </vt:variant>
      <vt:variant>
        <vt:i4>1179707</vt:i4>
      </vt:variant>
      <vt:variant>
        <vt:i4>14</vt:i4>
      </vt:variant>
      <vt:variant>
        <vt:i4>0</vt:i4>
      </vt:variant>
      <vt:variant>
        <vt:i4>5</vt:i4>
      </vt:variant>
      <vt:variant>
        <vt:lpwstr/>
      </vt:variant>
      <vt:variant>
        <vt:lpwstr>_Toc210406965</vt:lpwstr>
      </vt:variant>
      <vt:variant>
        <vt:i4>1179707</vt:i4>
      </vt:variant>
      <vt:variant>
        <vt:i4>11</vt:i4>
      </vt:variant>
      <vt:variant>
        <vt:i4>0</vt:i4>
      </vt:variant>
      <vt:variant>
        <vt:i4>5</vt:i4>
      </vt:variant>
      <vt:variant>
        <vt:lpwstr/>
      </vt:variant>
      <vt:variant>
        <vt:lpwstr>_Toc210406964</vt:lpwstr>
      </vt:variant>
      <vt:variant>
        <vt:i4>1179707</vt:i4>
      </vt:variant>
      <vt:variant>
        <vt:i4>5</vt:i4>
      </vt:variant>
      <vt:variant>
        <vt:i4>0</vt:i4>
      </vt:variant>
      <vt:variant>
        <vt:i4>5</vt:i4>
      </vt:variant>
      <vt:variant>
        <vt:lpwstr/>
      </vt:variant>
      <vt:variant>
        <vt:lpwstr>_Toc210406963</vt:lpwstr>
      </vt:variant>
      <vt:variant>
        <vt:i4>1179707</vt:i4>
      </vt:variant>
      <vt:variant>
        <vt:i4>2</vt:i4>
      </vt:variant>
      <vt:variant>
        <vt:i4>0</vt:i4>
      </vt:variant>
      <vt:variant>
        <vt:i4>5</vt:i4>
      </vt:variant>
      <vt:variant>
        <vt:lpwstr/>
      </vt:variant>
      <vt:variant>
        <vt:lpwstr>_Toc210406962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Shubham Bhargava</cp:lastModifiedBy>
  <cp:revision>229</cp:revision>
  <cp:lastPrinted>2008-02-01T01:09:00Z</cp:lastPrinted>
  <dcterms:created xsi:type="dcterms:W3CDTF">2020-08-14T15:21:00Z</dcterms:created>
  <dcterms:modified xsi:type="dcterms:W3CDTF">2025-10-03T20:36:00Z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0x0101006A7274E559A63D48B46FFB274D0FDE38</vt:lpwstr>
  </property>
  <property fmtid="{D5CDD505-2E9C-101B-9397-08002B2CF9AE}" pid="4" name="MediaServiceImageTags">
    <vt:lpwstr/>
  </property>
</Properties>
</file>